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3F" w:rsidRDefault="0031793F" w:rsidP="00A42108">
      <w:pPr>
        <w:autoSpaceDE w:val="0"/>
        <w:autoSpaceDN w:val="0"/>
        <w:adjustRightInd w:val="0"/>
        <w:spacing w:before="240"/>
        <w:rPr>
          <w:rFonts w:ascii="Arial" w:hAnsi="Arial" w:cs="Arial"/>
          <w:b/>
          <w:bCs/>
          <w:sz w:val="36"/>
          <w:szCs w:val="36"/>
        </w:rPr>
      </w:pPr>
    </w:p>
    <w:tbl>
      <w:tblPr>
        <w:tblStyle w:val="Grilledutableau"/>
        <w:tblW w:w="0" w:type="auto"/>
        <w:tblLook w:val="04A0" w:firstRow="1" w:lastRow="0" w:firstColumn="1" w:lastColumn="0" w:noHBand="0" w:noVBand="1"/>
      </w:tblPr>
      <w:tblGrid>
        <w:gridCol w:w="9212"/>
      </w:tblGrid>
      <w:tr w:rsidR="00292C1D" w:rsidRPr="00993E4D" w:rsidTr="00591B95">
        <w:trPr>
          <w:trHeight w:val="1650"/>
        </w:trPr>
        <w:tc>
          <w:tcPr>
            <w:tcW w:w="9212" w:type="dxa"/>
            <w:shd w:val="clear" w:color="auto" w:fill="F2F2F2" w:themeFill="background1" w:themeFillShade="F2"/>
          </w:tcPr>
          <w:p w:rsidR="00280E86" w:rsidRDefault="00280E86" w:rsidP="00280E86">
            <w:pPr>
              <w:autoSpaceDE w:val="0"/>
              <w:autoSpaceDN w:val="0"/>
              <w:adjustRightInd w:val="0"/>
              <w:spacing w:before="120" w:line="276" w:lineRule="auto"/>
              <w:jc w:val="center"/>
              <w:rPr>
                <w:rFonts w:ascii="Arial" w:eastAsia="Times New Roman" w:hAnsi="Arial" w:cs="Arial"/>
                <w:b/>
                <w:bCs/>
                <w:color w:val="002060"/>
                <w:sz w:val="32"/>
                <w:szCs w:val="32"/>
                <w:lang w:eastAsia="fr-FR"/>
              </w:rPr>
            </w:pPr>
            <w:r w:rsidRPr="00280E86">
              <w:rPr>
                <w:rFonts w:ascii="Arial" w:eastAsia="Times New Roman" w:hAnsi="Arial" w:cs="Arial"/>
                <w:b/>
                <w:bCs/>
                <w:color w:val="002060"/>
                <w:sz w:val="32"/>
                <w:szCs w:val="32"/>
                <w:lang w:eastAsia="fr-FR"/>
              </w:rPr>
              <w:t>Mettre en œuvre des bonnes pratiques de sécurité</w:t>
            </w:r>
          </w:p>
          <w:p w:rsidR="00EF6E06" w:rsidRPr="00280E86" w:rsidRDefault="00280E86" w:rsidP="00280E86">
            <w:pPr>
              <w:autoSpaceDE w:val="0"/>
              <w:autoSpaceDN w:val="0"/>
              <w:adjustRightInd w:val="0"/>
              <w:spacing w:line="276" w:lineRule="auto"/>
              <w:jc w:val="center"/>
              <w:rPr>
                <w:rFonts w:ascii="Arial" w:eastAsia="Times New Roman" w:hAnsi="Arial" w:cs="Arial"/>
                <w:b/>
                <w:bCs/>
                <w:color w:val="002060"/>
                <w:sz w:val="32"/>
                <w:szCs w:val="32"/>
                <w:lang w:eastAsia="fr-FR"/>
              </w:rPr>
            </w:pPr>
            <w:r>
              <w:rPr>
                <w:rFonts w:ascii="Arial" w:eastAsia="Times New Roman" w:hAnsi="Arial" w:cs="Arial"/>
                <w:b/>
                <w:bCs/>
                <w:color w:val="002060"/>
                <w:sz w:val="32"/>
                <w:szCs w:val="32"/>
                <w:lang w:eastAsia="fr-FR"/>
              </w:rPr>
              <w:t>Briefing</w:t>
            </w:r>
            <w:r w:rsidR="00EF6E06">
              <w:rPr>
                <w:rFonts w:ascii="Arial" w:eastAsia="Times New Roman" w:hAnsi="Arial" w:cs="Arial"/>
                <w:b/>
                <w:color w:val="002060"/>
                <w:sz w:val="32"/>
                <w:szCs w:val="32"/>
                <w:lang w:eastAsia="fr-FR"/>
              </w:rPr>
              <w:t xml:space="preserve"> </w:t>
            </w:r>
          </w:p>
          <w:p w:rsidR="00292C1D" w:rsidRPr="00993E4D" w:rsidRDefault="00EF6E06" w:rsidP="00280E86">
            <w:pPr>
              <w:autoSpaceDE w:val="0"/>
              <w:autoSpaceDN w:val="0"/>
              <w:adjustRightInd w:val="0"/>
              <w:spacing w:line="276" w:lineRule="auto"/>
              <w:jc w:val="center"/>
              <w:rPr>
                <w:rFonts w:ascii="Arial" w:hAnsi="Arial" w:cs="Arial"/>
                <w:b/>
                <w:bCs/>
                <w:sz w:val="36"/>
                <w:szCs w:val="36"/>
              </w:rPr>
            </w:pPr>
            <w:r w:rsidRPr="00993E4D">
              <w:rPr>
                <w:rFonts w:ascii="Arial" w:hAnsi="Arial" w:cs="Arial"/>
                <w:b/>
                <w:bCs/>
                <w:color w:val="002060"/>
                <w:sz w:val="28"/>
                <w:szCs w:val="28"/>
              </w:rPr>
              <w:t>Programme de formation 1 jour</w:t>
            </w:r>
            <w:r w:rsidR="00617848">
              <w:rPr>
                <w:rFonts w:ascii="Arial" w:hAnsi="Arial" w:cs="Arial"/>
                <w:b/>
                <w:bCs/>
                <w:color w:val="002060"/>
                <w:sz w:val="28"/>
                <w:szCs w:val="28"/>
              </w:rPr>
              <w:t xml:space="preserve"> </w:t>
            </w:r>
          </w:p>
        </w:tc>
      </w:tr>
    </w:tbl>
    <w:p w:rsidR="00AB5306" w:rsidRPr="00AB5306" w:rsidRDefault="00AB5306" w:rsidP="00AB5306">
      <w:pPr>
        <w:autoSpaceDE w:val="0"/>
        <w:autoSpaceDN w:val="0"/>
        <w:adjustRightInd w:val="0"/>
        <w:spacing w:after="0" w:line="240" w:lineRule="auto"/>
        <w:rPr>
          <w:rFonts w:ascii="Arial" w:eastAsia="Times New Roman" w:hAnsi="Arial" w:cs="Arial"/>
          <w:b/>
          <w:bCs/>
          <w:sz w:val="36"/>
          <w:szCs w:val="36"/>
          <w:lang w:eastAsia="fr-FR"/>
        </w:rPr>
      </w:pPr>
    </w:p>
    <w:p w:rsidR="006F646F" w:rsidRDefault="006F646F" w:rsidP="00AB5306">
      <w:pPr>
        <w:spacing w:after="0" w:line="240" w:lineRule="auto"/>
        <w:jc w:val="both"/>
        <w:rPr>
          <w:rFonts w:ascii="Arial" w:eastAsia="Calibri" w:hAnsi="Arial" w:cs="Arial"/>
          <w:color w:val="002060"/>
          <w:sz w:val="24"/>
          <w:szCs w:val="24"/>
          <w:lang w:eastAsia="fr-FR"/>
        </w:rPr>
      </w:pPr>
    </w:p>
    <w:p w:rsidR="00A64743" w:rsidRDefault="00A64743"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Ces formations actions à la gestion des risques en équipe (HAS juin 2017) spécifiques au travail en équipe ciblent les facteurs de performance non techniques de l’équipe. Complémentaires des analyses des pratiques professionnelles a priori et a posteriori,  elles permettent de renforcer et d’améliorer le travail en équipe.</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Développer la culture Sécurité par une approche basée sur les comportements et les organisations, ce modèle intégré permet de cho</w:t>
      </w:r>
      <w:r w:rsidR="006F646F">
        <w:rPr>
          <w:rFonts w:ascii="Arial" w:eastAsia="Calibri" w:hAnsi="Arial" w:cs="Arial"/>
          <w:color w:val="002060"/>
          <w:sz w:val="24"/>
          <w:szCs w:val="24"/>
          <w:lang w:eastAsia="fr-FR"/>
        </w:rPr>
        <w:t>isir et de mettre en œuvre une Bonne P</w:t>
      </w:r>
      <w:r w:rsidRPr="00AB5306">
        <w:rPr>
          <w:rFonts w:ascii="Arial" w:eastAsia="Calibri" w:hAnsi="Arial" w:cs="Arial"/>
          <w:color w:val="002060"/>
          <w:sz w:val="24"/>
          <w:szCs w:val="24"/>
          <w:lang w:eastAsia="fr-FR"/>
        </w:rPr>
        <w:t xml:space="preserve">ratique </w:t>
      </w:r>
      <w:r w:rsidR="006F646F">
        <w:rPr>
          <w:rFonts w:ascii="Arial" w:eastAsia="Calibri" w:hAnsi="Arial" w:cs="Arial"/>
          <w:color w:val="002060"/>
          <w:sz w:val="24"/>
          <w:szCs w:val="24"/>
          <w:lang w:eastAsia="fr-FR"/>
        </w:rPr>
        <w:t>de S</w:t>
      </w:r>
      <w:r w:rsidRPr="00AB5306">
        <w:rPr>
          <w:rFonts w:ascii="Arial" w:eastAsia="Calibri" w:hAnsi="Arial" w:cs="Arial"/>
          <w:color w:val="002060"/>
          <w:sz w:val="24"/>
          <w:szCs w:val="24"/>
          <w:lang w:eastAsia="fr-FR"/>
        </w:rPr>
        <w:t>écurité (BPS).</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L’objet de cette formation/action s’inscrit au regard des orientations fixées pour les années 2016 à 2018 cf. l’annexe 1 de l’arrêté du 8 décembre 2015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000363" w:rsidRPr="00000363" w:rsidRDefault="00000363" w:rsidP="00000363">
      <w:pPr>
        <w:spacing w:after="0" w:line="240" w:lineRule="auto"/>
        <w:jc w:val="both"/>
        <w:rPr>
          <w:rFonts w:ascii="Arial" w:eastAsia="Calibri" w:hAnsi="Arial" w:cs="Arial"/>
          <w:color w:val="002060"/>
          <w:sz w:val="24"/>
          <w:szCs w:val="24"/>
          <w:lang w:eastAsia="fr-FR"/>
        </w:rPr>
      </w:pPr>
      <w:r w:rsidRPr="00000363">
        <w:rPr>
          <w:rFonts w:ascii="Arial" w:eastAsia="Calibri" w:hAnsi="Arial" w:cs="Arial"/>
          <w:color w:val="002060"/>
          <w:sz w:val="24"/>
          <w:szCs w:val="24"/>
          <w:lang w:eastAsia="fr-FR"/>
        </w:rPr>
        <w:t xml:space="preserve"> « S’inscrivent dans ces orientations les actions contribuant à développer, […], une culture de la sécurité des soins passant par […] la déclaration des événements indésirables liés aux soins, aux médicaments ou à toute substance, ainsi que par une réflexion sur la pertinence des soins et sur le retour d’expérience.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L’objectif est de proposer une démarche structurée contribuant à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favoriser la déclaration des événements indésirables associés aux soins (orientation N°30 : Signalement des événements indésirables associés aux soins)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analyser ces événements indésirables au regard des pratiques des personnels de santé concernés par ces événements</w:t>
      </w:r>
    </w:p>
    <w:p w:rsidR="00AB5306" w:rsidRDefault="00AB5306" w:rsidP="006F646F">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proposer et mettre en œuvre une bonne pratique de sécurité pour diminuer les risques relatifs à ces événements indésirables (orientation N°31 : Amélioration de la pertinence des soins)</w:t>
      </w:r>
      <w:proofErr w:type="gramStart"/>
      <w:r w:rsidRPr="00AB5306">
        <w:rPr>
          <w:rFonts w:ascii="Arial" w:eastAsia="Calibri" w:hAnsi="Arial" w:cs="Arial"/>
          <w:color w:val="002060"/>
          <w:sz w:val="24"/>
          <w:szCs w:val="24"/>
          <w:lang w:eastAsia="fr-FR"/>
        </w:rPr>
        <w:t>.</w:t>
      </w:r>
      <w:r w:rsidR="006F646F" w:rsidRPr="00000363">
        <w:rPr>
          <w:rFonts w:ascii="Arial" w:eastAsia="Calibri" w:hAnsi="Arial" w:cs="Arial"/>
          <w:color w:val="002060"/>
          <w:sz w:val="24"/>
          <w:szCs w:val="24"/>
          <w:lang w:eastAsia="fr-FR"/>
        </w:rPr>
        <w:t>.</w:t>
      </w:r>
      <w:proofErr w:type="gramEnd"/>
    </w:p>
    <w:p w:rsidR="00000363" w:rsidRPr="00000363" w:rsidRDefault="00000363" w:rsidP="00000363">
      <w:pPr>
        <w:spacing w:after="0" w:line="240" w:lineRule="auto"/>
        <w:ind w:left="720"/>
        <w:contextualSpacing/>
        <w:jc w:val="both"/>
        <w:rPr>
          <w:rFonts w:ascii="Arial" w:eastAsia="Calibri" w:hAnsi="Arial" w:cs="Arial"/>
          <w:color w:val="002060"/>
          <w:sz w:val="24"/>
          <w:szCs w:val="24"/>
          <w:lang w:eastAsia="fr-FR"/>
        </w:rPr>
      </w:pPr>
    </w:p>
    <w:p w:rsidR="00000363" w:rsidRPr="00000363" w:rsidRDefault="00000363" w:rsidP="00000363">
      <w:pPr>
        <w:jc w:val="both"/>
        <w:rPr>
          <w:rFonts w:ascii="Arial" w:eastAsia="Calibri" w:hAnsi="Arial" w:cs="Arial"/>
          <w:color w:val="002060"/>
          <w:sz w:val="24"/>
          <w:szCs w:val="24"/>
          <w:lang w:eastAsia="fr-FR"/>
        </w:rPr>
      </w:pPr>
      <w:r w:rsidRPr="00000363">
        <w:rPr>
          <w:rFonts w:ascii="Arial" w:eastAsia="Calibri" w:hAnsi="Arial" w:cs="Arial"/>
          <w:color w:val="002060"/>
          <w:sz w:val="24"/>
          <w:szCs w:val="24"/>
          <w:lang w:eastAsia="fr-FR"/>
        </w:rPr>
        <w:t>Cette formation action se concrétise par l’analyse d’une pratique collective quotidienne proposée par les participants</w:t>
      </w:r>
    </w:p>
    <w:p w:rsidR="00000363" w:rsidRDefault="00000363" w:rsidP="006F646F">
      <w:pPr>
        <w:jc w:val="both"/>
        <w:rPr>
          <w:rFonts w:ascii="Arial" w:eastAsia="Calibri" w:hAnsi="Arial" w:cs="Arial"/>
          <w:color w:val="002060"/>
          <w:sz w:val="24"/>
          <w:szCs w:val="24"/>
          <w:lang w:eastAsia="fr-FR"/>
        </w:rPr>
      </w:pPr>
    </w:p>
    <w:p w:rsidR="00C12F71" w:rsidRDefault="00C12F71" w:rsidP="00292C1D">
      <w:pPr>
        <w:rPr>
          <w:rFonts w:ascii="Arial" w:eastAsia="Calibri" w:hAnsi="Arial" w:cs="Arial"/>
          <w:b/>
          <w:color w:val="002060"/>
          <w:sz w:val="24"/>
          <w:szCs w:val="24"/>
          <w:u w:val="single"/>
        </w:rPr>
      </w:pPr>
    </w:p>
    <w:p w:rsidR="00292C1D"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lastRenderedPageBreak/>
        <w:t>Objectif général</w:t>
      </w:r>
    </w:p>
    <w:p w:rsidR="006B43F0" w:rsidRDefault="006B43F0" w:rsidP="006B43F0">
      <w:pPr>
        <w:jc w:val="both"/>
        <w:rPr>
          <w:rFonts w:ascii="Arial" w:eastAsia="Times New Roman" w:hAnsi="Arial" w:cs="Arial"/>
          <w:color w:val="002060"/>
          <w:sz w:val="24"/>
          <w:szCs w:val="24"/>
          <w:lang w:eastAsia="fr-FR"/>
        </w:rPr>
      </w:pPr>
      <w:r w:rsidRPr="00D535DC">
        <w:rPr>
          <w:rFonts w:ascii="Arial" w:eastAsia="Calibri" w:hAnsi="Arial" w:cs="Arial"/>
          <w:color w:val="002060"/>
          <w:sz w:val="24"/>
          <w:szCs w:val="24"/>
        </w:rPr>
        <w:t xml:space="preserve">L’objectif de cette formation est de maîtriser </w:t>
      </w:r>
      <w:r w:rsidR="00AC7C94">
        <w:rPr>
          <w:rFonts w:ascii="Arial" w:eastAsia="Calibri" w:hAnsi="Arial" w:cs="Arial"/>
          <w:color w:val="002060"/>
          <w:sz w:val="24"/>
          <w:szCs w:val="24"/>
        </w:rPr>
        <w:t xml:space="preserve">les différentes étapes d’un </w:t>
      </w:r>
      <w:r>
        <w:rPr>
          <w:rFonts w:ascii="Arial" w:eastAsia="Calibri" w:hAnsi="Arial" w:cs="Arial"/>
          <w:color w:val="002060"/>
          <w:sz w:val="24"/>
          <w:szCs w:val="24"/>
        </w:rPr>
        <w:t>briefing et de distinguer les situations ou les événements q</w:t>
      </w:r>
      <w:r w:rsidR="00AC7C94">
        <w:rPr>
          <w:rFonts w:ascii="Arial" w:eastAsia="Calibri" w:hAnsi="Arial" w:cs="Arial"/>
          <w:color w:val="002060"/>
          <w:sz w:val="24"/>
          <w:szCs w:val="24"/>
        </w:rPr>
        <w:t>ui doivent faire l’objet d’un briefing. Ce type d’action</w:t>
      </w:r>
      <w:r>
        <w:rPr>
          <w:rFonts w:ascii="Arial" w:eastAsia="Calibri" w:hAnsi="Arial" w:cs="Arial"/>
          <w:color w:val="002060"/>
          <w:sz w:val="24"/>
          <w:szCs w:val="24"/>
        </w:rPr>
        <w:t xml:space="preserve"> est une étape essentielle de management d’une équipe.</w:t>
      </w:r>
      <w:r>
        <w:rPr>
          <w:rFonts w:ascii="Arial" w:eastAsia="Times New Roman" w:hAnsi="Arial" w:cs="Arial"/>
          <w:color w:val="002060"/>
          <w:sz w:val="24"/>
          <w:szCs w:val="24"/>
          <w:lang w:eastAsia="fr-FR"/>
        </w:rPr>
        <w:t xml:space="preserve"> </w:t>
      </w:r>
    </w:p>
    <w:p w:rsidR="006B43F0" w:rsidRPr="006B43F0" w:rsidRDefault="006B43F0" w:rsidP="006B43F0">
      <w:pPr>
        <w:jc w:val="both"/>
        <w:rPr>
          <w:rFonts w:ascii="Arial" w:eastAsia="Calibri" w:hAnsi="Arial" w:cs="Arial"/>
          <w:color w:val="002060"/>
          <w:sz w:val="24"/>
          <w:szCs w:val="24"/>
        </w:rPr>
      </w:pPr>
      <w:r>
        <w:rPr>
          <w:rFonts w:ascii="Arial" w:eastAsia="Times New Roman" w:hAnsi="Arial" w:cs="Arial"/>
          <w:color w:val="002060"/>
          <w:sz w:val="24"/>
          <w:szCs w:val="24"/>
          <w:lang w:eastAsia="fr-FR"/>
        </w:rPr>
        <w:t>F</w:t>
      </w:r>
      <w:r w:rsidRPr="00A977CC">
        <w:rPr>
          <w:rFonts w:ascii="Arial" w:eastAsia="Times New Roman" w:hAnsi="Arial" w:cs="Arial"/>
          <w:color w:val="002060"/>
          <w:sz w:val="24"/>
          <w:szCs w:val="24"/>
          <w:lang w:eastAsia="fr-FR"/>
        </w:rPr>
        <w:t>ondée sur l’expérience de l’aéronautique</w:t>
      </w:r>
      <w:r>
        <w:rPr>
          <w:rFonts w:ascii="Arial" w:eastAsia="Times New Roman" w:hAnsi="Arial" w:cs="Arial"/>
          <w:color w:val="002060"/>
          <w:sz w:val="24"/>
          <w:szCs w:val="24"/>
          <w:lang w:eastAsia="fr-FR"/>
        </w:rPr>
        <w:t xml:space="preserve"> </w:t>
      </w:r>
      <w:r w:rsidRPr="00A959D7">
        <w:rPr>
          <w:rFonts w:ascii="Arial" w:eastAsia="Times New Roman" w:hAnsi="Arial" w:cs="Arial"/>
          <w:color w:val="002060"/>
          <w:sz w:val="24"/>
          <w:szCs w:val="24"/>
          <w:lang w:eastAsia="fr-FR"/>
        </w:rPr>
        <w:t xml:space="preserve">elle </w:t>
      </w:r>
      <w:r w:rsidR="0040337B">
        <w:rPr>
          <w:rFonts w:ascii="Arial" w:hAnsi="Arial" w:cs="Arial"/>
          <w:color w:val="002060"/>
          <w:sz w:val="24"/>
          <w:szCs w:val="24"/>
        </w:rPr>
        <w:t>permet de rappeler une action ou une séquence d’actions individuelles ou collectives afin d’être en mesure d’exécuter correctement l’action ou la séquence d’actions prévues. Le briefing permet en outre d’être en mesure de réagir immédiatement à un événement prévisible prévu. La formation</w:t>
      </w:r>
      <w:r w:rsidRPr="00A959D7">
        <w:rPr>
          <w:rFonts w:ascii="Arial" w:hAnsi="Arial" w:cs="Arial"/>
          <w:color w:val="002060"/>
          <w:sz w:val="24"/>
          <w:szCs w:val="24"/>
        </w:rPr>
        <w:t xml:space="preserve"> permet d'amélior</w:t>
      </w:r>
      <w:r w:rsidR="0040337B">
        <w:rPr>
          <w:rFonts w:ascii="Arial" w:hAnsi="Arial" w:cs="Arial"/>
          <w:color w:val="002060"/>
          <w:sz w:val="24"/>
          <w:szCs w:val="24"/>
        </w:rPr>
        <w:t>er le mode opératoire</w:t>
      </w:r>
      <w:r w:rsidR="0015348A">
        <w:rPr>
          <w:rFonts w:ascii="Arial" w:hAnsi="Arial" w:cs="Arial"/>
          <w:color w:val="002060"/>
          <w:sz w:val="24"/>
          <w:szCs w:val="24"/>
        </w:rPr>
        <w:t xml:space="preserve"> et d’anticiper les défaillances à </w:t>
      </w:r>
      <w:r>
        <w:rPr>
          <w:rFonts w:ascii="Arial" w:hAnsi="Arial" w:cs="Arial"/>
          <w:color w:val="002060"/>
          <w:sz w:val="24"/>
          <w:szCs w:val="24"/>
        </w:rPr>
        <w:t xml:space="preserve"> l’origine d’un </w:t>
      </w:r>
      <w:r w:rsidRPr="00A959D7">
        <w:rPr>
          <w:rFonts w:ascii="Arial" w:hAnsi="Arial" w:cs="Arial"/>
          <w:color w:val="002060"/>
          <w:sz w:val="24"/>
          <w:szCs w:val="24"/>
        </w:rPr>
        <w:t>événement.</w:t>
      </w: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action de formation contribue à la gestion des risques associés aux soins : l’évaluation des pratiques professionnelles est au cœur de la démarche. Le professionnel s’engage.</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 xml:space="preserve">Cette </w:t>
      </w:r>
      <w:r w:rsidR="0041383D">
        <w:rPr>
          <w:rFonts w:ascii="Arial" w:eastAsia="Calibri" w:hAnsi="Arial" w:cs="Arial"/>
          <w:color w:val="002060"/>
          <w:sz w:val="24"/>
          <w:szCs w:val="24"/>
          <w:lang w:eastAsia="fr-FR"/>
        </w:rPr>
        <w:t>démarche</w:t>
      </w:r>
      <w:r w:rsidRPr="0063197E">
        <w:rPr>
          <w:rFonts w:ascii="Arial" w:eastAsia="Calibri" w:hAnsi="Arial" w:cs="Arial"/>
          <w:color w:val="002060"/>
          <w:sz w:val="24"/>
          <w:szCs w:val="24"/>
          <w:lang w:eastAsia="fr-FR"/>
        </w:rPr>
        <w:t xml:space="preserve"> répond donc à un enjeu majeur : celui d’accepter l’erreur et d’apporter une BPS permettant de détecter l’erreur et de la corriger.</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est construite autour d’ateliers pour favoriser l’acquisition des compétences. Ces séquences pédagogiques sont l’occasion, pour les stagiaires, d’analyser leurs pratiques professionnelles, notamment grâce aux regards extérieurs des autres personnes en formation.</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répond à l’article 4021-4-I du décret du 8 juillet 2016. Elle est en effet de nature à permettre au professionnel de santé de s’engager dans une démarche de développement professionnel continu en lui proposant :</w:t>
      </w:r>
    </w:p>
    <w:p w:rsidR="0063197E" w:rsidRP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de formation,</w:t>
      </w:r>
    </w:p>
    <w:p w:rsid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d’évaluation et d’amélioration de leurs pratiques gr</w:t>
      </w:r>
      <w:r w:rsidR="00563478">
        <w:rPr>
          <w:rFonts w:ascii="Arial" w:eastAsia="Calibri" w:hAnsi="Arial" w:cs="Arial"/>
          <w:color w:val="002060"/>
          <w:sz w:val="24"/>
          <w:szCs w:val="24"/>
          <w:lang w:eastAsia="fr-FR"/>
        </w:rPr>
        <w:t>âce à l’analyse des défaillances survenues voire des échecs,</w:t>
      </w:r>
    </w:p>
    <w:p w:rsidR="004770EB" w:rsidRPr="0063197E" w:rsidRDefault="004770EB" w:rsidP="0063197E">
      <w:pPr>
        <w:numPr>
          <w:ilvl w:val="0"/>
          <w:numId w:val="10"/>
        </w:numPr>
        <w:spacing w:after="0" w:line="240" w:lineRule="auto"/>
        <w:contextualSpacing/>
        <w:jc w:val="both"/>
        <w:rPr>
          <w:rFonts w:ascii="Arial" w:eastAsia="Calibri" w:hAnsi="Arial" w:cs="Arial"/>
          <w:color w:val="002060"/>
          <w:sz w:val="24"/>
          <w:szCs w:val="24"/>
          <w:lang w:eastAsia="fr-FR"/>
        </w:rPr>
      </w:pPr>
      <w:r>
        <w:rPr>
          <w:rFonts w:ascii="Arial" w:eastAsia="Calibri" w:hAnsi="Arial" w:cs="Arial"/>
          <w:color w:val="002060"/>
          <w:sz w:val="24"/>
          <w:szCs w:val="24"/>
          <w:lang w:eastAsia="fr-FR"/>
        </w:rPr>
        <w:t>des actions d’amélioration de la gestion des risques</w:t>
      </w:r>
      <w:r w:rsidR="00133B9E">
        <w:rPr>
          <w:rFonts w:ascii="Arial" w:eastAsia="Calibri" w:hAnsi="Arial" w:cs="Arial"/>
          <w:color w:val="002060"/>
          <w:sz w:val="24"/>
          <w:szCs w:val="24"/>
          <w:lang w:eastAsia="fr-FR"/>
        </w:rPr>
        <w:t xml:space="preserve"> à partir de la mise en œuvre de bonnes pratiques de sécurité,</w:t>
      </w:r>
    </w:p>
    <w:p w:rsidR="00563478" w:rsidRDefault="0063197E" w:rsidP="0031793F">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d’amélioration de la gestion des risques au travers la mise en œuvre d’actions correctives pertinentes.</w:t>
      </w:r>
    </w:p>
    <w:p w:rsidR="0031793F" w:rsidRPr="0031793F" w:rsidRDefault="0031793F" w:rsidP="0031793F">
      <w:pPr>
        <w:spacing w:after="0" w:line="240" w:lineRule="auto"/>
        <w:ind w:left="720"/>
        <w:contextualSpacing/>
        <w:jc w:val="both"/>
        <w:rPr>
          <w:rFonts w:ascii="Arial" w:eastAsia="Calibri" w:hAnsi="Arial" w:cs="Arial"/>
          <w:color w:val="002060"/>
          <w:sz w:val="24"/>
          <w:szCs w:val="24"/>
          <w:lang w:eastAsia="fr-FR"/>
        </w:rPr>
      </w:pPr>
    </w:p>
    <w:p w:rsidR="00125059" w:rsidRPr="00125059" w:rsidRDefault="00125059" w:rsidP="00125059">
      <w:pPr>
        <w:spacing w:after="0" w:line="240" w:lineRule="auto"/>
        <w:rPr>
          <w:rFonts w:ascii="Arial" w:eastAsia="Times New Roman" w:hAnsi="Arial" w:cs="Arial"/>
          <w:b/>
          <w:color w:val="002060"/>
          <w:sz w:val="24"/>
          <w:szCs w:val="24"/>
          <w:u w:val="single"/>
          <w:lang w:eastAsia="fr-FR"/>
        </w:rPr>
      </w:pPr>
      <w:r w:rsidRPr="00125059">
        <w:rPr>
          <w:rFonts w:ascii="Arial" w:eastAsia="Times New Roman" w:hAnsi="Arial" w:cs="Arial"/>
          <w:b/>
          <w:color w:val="002060"/>
          <w:sz w:val="24"/>
          <w:szCs w:val="24"/>
          <w:u w:val="single"/>
          <w:lang w:eastAsia="fr-FR"/>
        </w:rPr>
        <w:t>Objectifs pédagogiques</w:t>
      </w:r>
    </w:p>
    <w:p w:rsidR="00125059" w:rsidRPr="00125059" w:rsidRDefault="00125059" w:rsidP="004B60BE">
      <w:pPr>
        <w:autoSpaceDE w:val="0"/>
        <w:autoSpaceDN w:val="0"/>
        <w:adjustRightInd w:val="0"/>
        <w:spacing w:before="120" w:after="0" w:line="240" w:lineRule="auto"/>
        <w:rPr>
          <w:rFonts w:ascii="Arial" w:eastAsia="Times New Roman" w:hAnsi="Arial" w:cs="Arial"/>
          <w:color w:val="002060"/>
          <w:lang w:eastAsia="fr-FR"/>
        </w:rPr>
      </w:pPr>
    </w:p>
    <w:p w:rsidR="00E330CA" w:rsidRPr="00A64743" w:rsidRDefault="006B43F0" w:rsidP="00A64743">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 xml:space="preserve">Faire acquérir à toutes les catégories </w:t>
      </w:r>
      <w:r>
        <w:rPr>
          <w:rFonts w:ascii="Arial" w:eastAsia="Calibri" w:hAnsi="Arial" w:cs="Arial"/>
          <w:color w:val="002060"/>
          <w:sz w:val="24"/>
          <w:szCs w:val="24"/>
        </w:rPr>
        <w:t xml:space="preserve">de personnel soignant ou non les </w:t>
      </w:r>
      <w:r w:rsidR="00E330CA">
        <w:rPr>
          <w:rFonts w:ascii="Arial" w:eastAsia="Calibri" w:hAnsi="Arial" w:cs="Arial"/>
          <w:color w:val="002060"/>
          <w:sz w:val="24"/>
          <w:szCs w:val="24"/>
        </w:rPr>
        <w:t xml:space="preserve">différentes phases d’un </w:t>
      </w:r>
      <w:r>
        <w:rPr>
          <w:rFonts w:ascii="Arial" w:eastAsia="Calibri" w:hAnsi="Arial" w:cs="Arial"/>
          <w:color w:val="002060"/>
          <w:sz w:val="24"/>
          <w:szCs w:val="24"/>
        </w:rPr>
        <w:t>briefing afin de dégager les actions positives, de formuler</w:t>
      </w:r>
      <w:r w:rsidRPr="00D535DC">
        <w:rPr>
          <w:rFonts w:ascii="Arial" w:eastAsia="Calibri" w:hAnsi="Arial" w:cs="Arial"/>
          <w:color w:val="002060"/>
          <w:sz w:val="24"/>
          <w:szCs w:val="24"/>
        </w:rPr>
        <w:t xml:space="preserve"> </w:t>
      </w:r>
      <w:r>
        <w:rPr>
          <w:rFonts w:ascii="Arial" w:eastAsia="Calibri" w:hAnsi="Arial" w:cs="Arial"/>
          <w:color w:val="002060"/>
          <w:sz w:val="24"/>
          <w:szCs w:val="24"/>
        </w:rPr>
        <w:t xml:space="preserve">les difficultés rencontrées, de passer en revue les actions à envisager </w:t>
      </w:r>
    </w:p>
    <w:p w:rsidR="006B43F0" w:rsidRPr="00D535DC" w:rsidRDefault="00A64743" w:rsidP="00E330CA">
      <w:pPr>
        <w:pStyle w:val="Paragraphedeliste"/>
        <w:jc w:val="both"/>
        <w:rPr>
          <w:rFonts w:ascii="Arial" w:eastAsia="Calibri" w:hAnsi="Arial" w:cs="Arial"/>
          <w:color w:val="002060"/>
          <w:sz w:val="24"/>
          <w:szCs w:val="24"/>
        </w:rPr>
      </w:pPr>
      <w:proofErr w:type="gramStart"/>
      <w:r>
        <w:rPr>
          <w:rFonts w:ascii="Arial" w:eastAsia="Calibri" w:hAnsi="Arial" w:cs="Arial"/>
          <w:color w:val="002060"/>
          <w:sz w:val="24"/>
          <w:szCs w:val="24"/>
        </w:rPr>
        <w:t>et</w:t>
      </w:r>
      <w:proofErr w:type="gramEnd"/>
      <w:r>
        <w:rPr>
          <w:rFonts w:ascii="Arial" w:eastAsia="Calibri" w:hAnsi="Arial" w:cs="Arial"/>
          <w:color w:val="002060"/>
          <w:sz w:val="24"/>
          <w:szCs w:val="24"/>
        </w:rPr>
        <w:t xml:space="preserve"> </w:t>
      </w:r>
      <w:r w:rsidR="006B43F0">
        <w:rPr>
          <w:rFonts w:ascii="Arial" w:eastAsia="Calibri" w:hAnsi="Arial" w:cs="Arial"/>
          <w:color w:val="002060"/>
          <w:sz w:val="24"/>
          <w:szCs w:val="24"/>
        </w:rPr>
        <w:t>d’identifier les bonnes attitudes de sécurité permettant de développer notamment la synergie de l’équipe</w:t>
      </w:r>
      <w:r w:rsidR="006B43F0" w:rsidRPr="00D535DC">
        <w:rPr>
          <w:rFonts w:ascii="Arial" w:eastAsia="Calibri" w:hAnsi="Arial" w:cs="Arial"/>
          <w:color w:val="002060"/>
          <w:sz w:val="24"/>
          <w:szCs w:val="24"/>
        </w:rPr>
        <w:t>.</w:t>
      </w:r>
    </w:p>
    <w:p w:rsidR="006F646F" w:rsidRPr="004B60BE" w:rsidRDefault="006B43F0" w:rsidP="00292C1D">
      <w:pPr>
        <w:pStyle w:val="Paragraphedeliste"/>
        <w:numPr>
          <w:ilvl w:val="0"/>
          <w:numId w:val="6"/>
        </w:numPr>
        <w:jc w:val="both"/>
        <w:rPr>
          <w:rFonts w:ascii="Arial" w:eastAsia="Calibri" w:hAnsi="Arial" w:cs="Arial"/>
          <w:b/>
          <w:color w:val="002060"/>
          <w:sz w:val="24"/>
          <w:szCs w:val="24"/>
        </w:rPr>
      </w:pPr>
      <w:r w:rsidRPr="00D535DC">
        <w:rPr>
          <w:rFonts w:ascii="Arial" w:eastAsia="Calibri" w:hAnsi="Arial" w:cs="Arial"/>
          <w:color w:val="002060"/>
          <w:sz w:val="24"/>
          <w:szCs w:val="24"/>
        </w:rPr>
        <w:lastRenderedPageBreak/>
        <w:t>A l’issue de la formation, les partici</w:t>
      </w:r>
      <w:r>
        <w:rPr>
          <w:rFonts w:ascii="Arial" w:eastAsia="Calibri" w:hAnsi="Arial" w:cs="Arial"/>
          <w:color w:val="002060"/>
          <w:sz w:val="24"/>
          <w:szCs w:val="24"/>
        </w:rPr>
        <w:t>pants ont assimilé le déroulemen</w:t>
      </w:r>
      <w:r w:rsidR="00E330CA">
        <w:rPr>
          <w:rFonts w:ascii="Arial" w:eastAsia="Calibri" w:hAnsi="Arial" w:cs="Arial"/>
          <w:color w:val="002060"/>
          <w:sz w:val="24"/>
          <w:szCs w:val="24"/>
        </w:rPr>
        <w:t xml:space="preserve">t des différentes phases d’un </w:t>
      </w:r>
      <w:r>
        <w:rPr>
          <w:rFonts w:ascii="Arial" w:eastAsia="Calibri" w:hAnsi="Arial" w:cs="Arial"/>
          <w:color w:val="002060"/>
          <w:sz w:val="24"/>
          <w:szCs w:val="24"/>
        </w:rPr>
        <w:t>briefing à partir de l’exposé de la méthode</w:t>
      </w:r>
      <w:r w:rsidRPr="00D535DC">
        <w:rPr>
          <w:rFonts w:ascii="Arial" w:eastAsia="Calibri" w:hAnsi="Arial" w:cs="Arial"/>
          <w:color w:val="002060"/>
          <w:sz w:val="24"/>
          <w:szCs w:val="24"/>
        </w:rPr>
        <w:t>, d’exempl</w:t>
      </w:r>
      <w:r>
        <w:rPr>
          <w:rFonts w:ascii="Arial" w:eastAsia="Calibri" w:hAnsi="Arial" w:cs="Arial"/>
          <w:color w:val="002060"/>
          <w:sz w:val="24"/>
          <w:szCs w:val="24"/>
        </w:rPr>
        <w:t>es présentés par les animateurs</w:t>
      </w:r>
      <w:r w:rsidRPr="00D535DC">
        <w:rPr>
          <w:rFonts w:ascii="Arial" w:eastAsia="Calibri" w:hAnsi="Arial" w:cs="Arial"/>
          <w:color w:val="002060"/>
          <w:sz w:val="24"/>
          <w:szCs w:val="24"/>
        </w:rPr>
        <w:t xml:space="preserve"> et d’ateliers de groupe animés à partir de leurs propres événements vécus. Ils sont capables de participer et de mettre en œuvre dans leur établissement, unité de soins ou service les diff</w:t>
      </w:r>
      <w:r w:rsidR="00E330CA">
        <w:rPr>
          <w:rFonts w:ascii="Arial" w:eastAsia="Calibri" w:hAnsi="Arial" w:cs="Arial"/>
          <w:color w:val="002060"/>
          <w:sz w:val="24"/>
          <w:szCs w:val="24"/>
        </w:rPr>
        <w:t xml:space="preserve">érentes étapes d’un </w:t>
      </w:r>
      <w:r>
        <w:rPr>
          <w:rFonts w:ascii="Arial" w:eastAsia="Calibri" w:hAnsi="Arial" w:cs="Arial"/>
          <w:color w:val="002060"/>
          <w:sz w:val="24"/>
          <w:szCs w:val="24"/>
        </w:rPr>
        <w:t>briefing</w:t>
      </w:r>
      <w:r w:rsidRPr="00D535DC">
        <w:rPr>
          <w:rFonts w:ascii="Arial" w:eastAsia="Calibri" w:hAnsi="Arial" w:cs="Arial"/>
          <w:color w:val="002060"/>
          <w:sz w:val="24"/>
          <w:szCs w:val="24"/>
        </w:rPr>
        <w: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B634A0" w:rsidRPr="00A64743" w:rsidRDefault="00D535DC" w:rsidP="00A64743">
      <w:pPr>
        <w:rPr>
          <w:rFonts w:ascii="Arial" w:eastAsia="Times New Roman" w:hAnsi="Arial" w:cs="Arial"/>
          <w:color w:val="002060"/>
          <w:sz w:val="24"/>
          <w:szCs w:val="24"/>
          <w:lang w:eastAsia="fr-FR"/>
        </w:rPr>
      </w:pPr>
      <w:r w:rsidRPr="00D535DC">
        <w:rPr>
          <w:rFonts w:ascii="Arial" w:hAnsi="Arial" w:cs="Arial"/>
          <w:color w:val="002060"/>
          <w:sz w:val="24"/>
          <w:szCs w:val="24"/>
        </w:rPr>
        <w:t xml:space="preserve">Tout professionnel d’une unité de soins : Médecins, Chirurgiens, Anesthésistes, Cadres, </w:t>
      </w:r>
      <w:r w:rsidR="00A64743" w:rsidRPr="00A64743">
        <w:rPr>
          <w:rFonts w:ascii="Arial" w:eastAsia="Times New Roman" w:hAnsi="Arial" w:cs="Arial"/>
          <w:color w:val="002060"/>
          <w:sz w:val="24"/>
          <w:szCs w:val="24"/>
          <w:lang w:eastAsia="fr-FR"/>
        </w:rPr>
        <w:t>IBODE, IADE, IDE, AS, Secrétaire, Brancardier…et de façon plus générale tout personnel soignant.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001CC4" w:rsidRDefault="00E6095B" w:rsidP="00292C1D">
      <w:pPr>
        <w:rPr>
          <w:rFonts w:ascii="Arial" w:hAnsi="Arial" w:cs="Arial"/>
          <w:color w:val="002060"/>
          <w:sz w:val="24"/>
          <w:szCs w:val="24"/>
        </w:rPr>
      </w:pPr>
      <w:r>
        <w:rPr>
          <w:rFonts w:ascii="Arial" w:hAnsi="Arial" w:cs="Arial"/>
          <w:color w:val="002060"/>
          <w:sz w:val="24"/>
          <w:szCs w:val="24"/>
        </w:rPr>
        <w:t xml:space="preserve">La composition du groupe doit </w:t>
      </w:r>
      <w:r w:rsidR="00D535DC" w:rsidRPr="00D535DC">
        <w:rPr>
          <w:rFonts w:ascii="Arial" w:hAnsi="Arial" w:cs="Arial"/>
          <w:color w:val="002060"/>
          <w:sz w:val="24"/>
          <w:szCs w:val="24"/>
        </w:rPr>
        <w:t>être pluri-professionnelle.</w:t>
      </w:r>
    </w:p>
    <w:tbl>
      <w:tblPr>
        <w:tblStyle w:val="Grilledutableau"/>
        <w:tblW w:w="0" w:type="auto"/>
        <w:tblLook w:val="04A0" w:firstRow="1" w:lastRow="0" w:firstColumn="1" w:lastColumn="0" w:noHBand="0" w:noVBand="1"/>
      </w:tblPr>
      <w:tblGrid>
        <w:gridCol w:w="9212"/>
      </w:tblGrid>
      <w:tr w:rsidR="00001CC4" w:rsidTr="00001CC4">
        <w:tc>
          <w:tcPr>
            <w:tcW w:w="9212" w:type="dxa"/>
          </w:tcPr>
          <w:p w:rsidR="00001CC4" w:rsidRDefault="00001CC4" w:rsidP="00001CC4">
            <w:pPr>
              <w:jc w:val="center"/>
              <w:rPr>
                <w:rFonts w:ascii="Arial" w:hAnsi="Arial" w:cs="Arial"/>
                <w:color w:val="002060"/>
                <w:sz w:val="24"/>
                <w:szCs w:val="24"/>
              </w:rPr>
            </w:pPr>
            <w:r w:rsidRPr="00001CC4">
              <w:rPr>
                <w:rFonts w:ascii="Arial" w:eastAsia="Calibri" w:hAnsi="Arial" w:cs="Arial"/>
                <w:b/>
                <w:color w:val="002060"/>
                <w:sz w:val="24"/>
                <w:szCs w:val="24"/>
                <w:u w:val="single"/>
                <w:lang w:eastAsia="fr-FR"/>
              </w:rPr>
              <w:t>Déroulé pédagogique de l’action - Méthodes et moyens pédagogiques</w:t>
            </w:r>
          </w:p>
        </w:tc>
      </w:tr>
    </w:tbl>
    <w:p w:rsidR="00001CC4" w:rsidRPr="00757637" w:rsidRDefault="00001CC4" w:rsidP="00292C1D">
      <w:pPr>
        <w:rPr>
          <w:rFonts w:ascii="Arial" w:hAnsi="Arial" w:cs="Arial"/>
          <w:color w:val="002060"/>
          <w:sz w:val="24"/>
          <w:szCs w:val="24"/>
        </w:rPr>
      </w:pPr>
    </w:p>
    <w:p w:rsidR="004B60BE" w:rsidRPr="0059228D" w:rsidRDefault="003463ED" w:rsidP="0059228D">
      <w:pPr>
        <w:spacing w:before="100" w:beforeAutospacing="1" w:after="100" w:afterAutospacing="1" w:line="240" w:lineRule="auto"/>
        <w:rPr>
          <w:rFonts w:ascii="Arial" w:eastAsia="Times New Roman" w:hAnsi="Arial" w:cs="Arial"/>
          <w:color w:val="002060"/>
          <w:sz w:val="24"/>
          <w:szCs w:val="24"/>
          <w:lang w:eastAsia="fr-FR"/>
        </w:rPr>
      </w:pPr>
      <w:r w:rsidRPr="00781DB2">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sidR="00F51AEE">
        <w:rPr>
          <w:rFonts w:ascii="Arial" w:eastAsia="Times New Roman" w:hAnsi="Arial" w:cs="Arial"/>
          <w:color w:val="002060"/>
          <w:sz w:val="24"/>
          <w:szCs w:val="24"/>
          <w:lang w:eastAsia="fr-FR"/>
        </w:rPr>
        <w:t>ou regroupement de</w:t>
      </w:r>
      <w:r w:rsidR="0059228D">
        <w:rPr>
          <w:rFonts w:ascii="Arial" w:eastAsia="Times New Roman" w:hAnsi="Arial" w:cs="Arial"/>
          <w:color w:val="002060"/>
          <w:sz w:val="24"/>
          <w:szCs w:val="24"/>
          <w:lang w:eastAsia="fr-FR"/>
        </w:rPr>
        <w:t xml:space="preserve"> plusieurs établissement</w:t>
      </w:r>
      <w:r w:rsidR="006F646F">
        <w:rPr>
          <w:rFonts w:ascii="Arial" w:eastAsia="Times New Roman" w:hAnsi="Arial" w:cs="Arial"/>
          <w:color w:val="002060"/>
          <w:sz w:val="24"/>
          <w:szCs w:val="24"/>
          <w:lang w:eastAsia="fr-FR"/>
        </w:rPr>
        <w:t>s</w:t>
      </w:r>
    </w:p>
    <w:p w:rsidR="007E6BBD" w:rsidRPr="00781DB2" w:rsidRDefault="007E6BBD" w:rsidP="007E6BBD">
      <w:pPr>
        <w:spacing w:after="0" w:line="240" w:lineRule="auto"/>
        <w:rPr>
          <w:rFonts w:ascii="Arial" w:eastAsia="Times New Roman" w:hAnsi="Arial" w:cs="Arial"/>
          <w:color w:val="002060"/>
          <w:sz w:val="24"/>
          <w:szCs w:val="24"/>
          <w:u w:val="single"/>
          <w:lang w:eastAsia="fr-FR"/>
        </w:rPr>
      </w:pPr>
      <w:r w:rsidRPr="00781DB2">
        <w:rPr>
          <w:rFonts w:ascii="Arial" w:eastAsia="Times New Roman" w:hAnsi="Arial" w:cs="Arial"/>
          <w:b/>
          <w:color w:val="002060"/>
          <w:sz w:val="24"/>
          <w:szCs w:val="24"/>
          <w:u w:val="single"/>
          <w:lang w:eastAsia="fr-FR"/>
        </w:rPr>
        <w:t xml:space="preserve">Programme </w:t>
      </w:r>
    </w:p>
    <w:p w:rsidR="007E6BBD" w:rsidRPr="00D535DC" w:rsidRDefault="007E6BBD" w:rsidP="007E6BBD">
      <w:p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  </w:t>
      </w:r>
    </w:p>
    <w:p w:rsidR="007E6BBD" w:rsidRPr="000B39EA" w:rsidRDefault="007E6BBD" w:rsidP="007E6BBD">
      <w:pPr>
        <w:spacing w:after="0" w:line="240" w:lineRule="auto"/>
        <w:jc w:val="both"/>
        <w:rPr>
          <w:rFonts w:ascii="Arial" w:eastAsia="Times New Roman" w:hAnsi="Arial" w:cs="Arial"/>
          <w:b/>
          <w:color w:val="002060"/>
          <w:sz w:val="24"/>
          <w:szCs w:val="24"/>
          <w:lang w:eastAsia="fr-FR"/>
        </w:rPr>
      </w:pPr>
      <w:r w:rsidRPr="000B39EA">
        <w:rPr>
          <w:rFonts w:ascii="Arial" w:eastAsia="Times New Roman" w:hAnsi="Arial" w:cs="Arial"/>
          <w:b/>
          <w:color w:val="002060"/>
          <w:sz w:val="24"/>
          <w:szCs w:val="24"/>
          <w:lang w:eastAsia="fr-FR"/>
        </w:rPr>
        <w:t xml:space="preserve">1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Tour de table</w:t>
      </w:r>
      <w:r w:rsidRPr="000B39EA">
        <w:rPr>
          <w:rFonts w:ascii="Arial" w:eastAsia="Times New Roman" w:hAnsi="Arial" w:cs="Arial"/>
          <w:color w:val="002060"/>
          <w:sz w:val="24"/>
          <w:szCs w:val="24"/>
          <w:lang w:eastAsia="fr-FR"/>
        </w:rPr>
        <w:t xml:space="preserve"> - relevé d'interrogations et des attentes (adaptation possible de la formation en fonction des attentes exprimées)</w:t>
      </w:r>
      <w:r>
        <w:rPr>
          <w:rFonts w:ascii="Arial" w:eastAsia="Times New Roman" w:hAnsi="Arial" w:cs="Arial"/>
          <w:color w:val="002060"/>
          <w:sz w:val="24"/>
          <w:szCs w:val="24"/>
          <w:lang w:eastAsia="fr-FR"/>
        </w:rPr>
        <w:t>. Les grandes questions à se poser.</w:t>
      </w:r>
    </w:p>
    <w:p w:rsidR="007E6BBD" w:rsidRDefault="007E6BBD" w:rsidP="007E6BBD">
      <w:pPr>
        <w:spacing w:after="0" w:line="240" w:lineRule="auto"/>
        <w:rPr>
          <w:rFonts w:ascii="Arial" w:eastAsia="Times New Roman" w:hAnsi="Arial" w:cs="Arial"/>
          <w:color w:val="002060"/>
          <w:sz w:val="24"/>
          <w:szCs w:val="24"/>
          <w:lang w:eastAsia="fr-FR"/>
        </w:rPr>
      </w:pPr>
    </w:p>
    <w:p w:rsidR="007E6BBD" w:rsidRPr="000B39EA" w:rsidRDefault="007E6BBD"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2</w:t>
      </w:r>
      <w:r w:rsidRPr="000B39EA">
        <w:rPr>
          <w:rFonts w:ascii="Arial" w:eastAsia="Times New Roman" w:hAnsi="Arial" w:cs="Arial"/>
          <w:b/>
          <w:color w:val="002060"/>
          <w:sz w:val="24"/>
          <w:szCs w:val="24"/>
          <w:lang w:eastAsia="fr-FR"/>
        </w:rPr>
        <w:t xml:space="preserve"> </w:t>
      </w:r>
      <w:r>
        <w:rPr>
          <w:rFonts w:ascii="Arial" w:eastAsia="Times New Roman" w:hAnsi="Arial" w:cs="Arial"/>
          <w:b/>
          <w:color w:val="002060"/>
          <w:sz w:val="24"/>
          <w:szCs w:val="24"/>
          <w:lang w:eastAsia="fr-FR"/>
        </w:rPr>
        <w:t>–</w:t>
      </w:r>
      <w:r w:rsidRPr="000B39EA">
        <w:rPr>
          <w:rFonts w:ascii="Arial" w:eastAsia="Times New Roman" w:hAnsi="Arial" w:cs="Arial"/>
          <w:b/>
          <w:color w:val="002060"/>
          <w:sz w:val="24"/>
          <w:szCs w:val="24"/>
          <w:lang w:eastAsia="fr-FR"/>
        </w:rPr>
        <w:t xml:space="preserve"> </w:t>
      </w:r>
      <w:r w:rsidR="00A64743">
        <w:rPr>
          <w:rFonts w:ascii="Arial" w:eastAsia="Times New Roman" w:hAnsi="Arial" w:cs="Arial"/>
          <w:b/>
          <w:color w:val="002060"/>
          <w:sz w:val="24"/>
          <w:szCs w:val="24"/>
          <w:lang w:eastAsia="fr-FR"/>
        </w:rPr>
        <w:t>Déroulement et méthode du briefing </w:t>
      </w:r>
      <w:r w:rsidR="00A64743" w:rsidRPr="00ED6F16">
        <w:rPr>
          <w:rFonts w:ascii="Arial" w:eastAsia="Times New Roman" w:hAnsi="Arial" w:cs="Arial"/>
          <w:color w:val="002060"/>
          <w:sz w:val="24"/>
          <w:szCs w:val="24"/>
          <w:lang w:eastAsia="fr-FR"/>
        </w:rPr>
        <w:t xml:space="preserve">: </w:t>
      </w:r>
      <w:r w:rsidR="00ED6F16" w:rsidRPr="00ED6F16">
        <w:rPr>
          <w:rFonts w:ascii="Arial" w:eastAsia="Times New Roman" w:hAnsi="Arial" w:cs="Arial"/>
          <w:color w:val="002060"/>
          <w:sz w:val="24"/>
          <w:szCs w:val="24"/>
          <w:lang w:eastAsia="fr-FR"/>
        </w:rPr>
        <w:t>situations</w:t>
      </w:r>
      <w:r w:rsidR="00ED6F16">
        <w:rPr>
          <w:rFonts w:ascii="Arial" w:eastAsia="Times New Roman" w:hAnsi="Arial" w:cs="Arial"/>
          <w:color w:val="002060"/>
          <w:sz w:val="24"/>
          <w:szCs w:val="24"/>
          <w:lang w:eastAsia="fr-FR"/>
        </w:rPr>
        <w:t xml:space="preserve"> types – </w:t>
      </w:r>
      <w:r w:rsidR="00A64743" w:rsidRPr="00ED6F16">
        <w:rPr>
          <w:rFonts w:ascii="Arial" w:eastAsia="Times New Roman" w:hAnsi="Arial" w:cs="Arial"/>
          <w:color w:val="002060"/>
          <w:sz w:val="24"/>
          <w:szCs w:val="24"/>
          <w:lang w:eastAsia="fr-FR"/>
        </w:rPr>
        <w:t>contenu</w:t>
      </w:r>
      <w:r w:rsidR="00ED6F16">
        <w:rPr>
          <w:rFonts w:ascii="Arial" w:eastAsia="Times New Roman" w:hAnsi="Arial" w:cs="Arial"/>
          <w:color w:val="002060"/>
          <w:sz w:val="24"/>
          <w:szCs w:val="24"/>
          <w:lang w:eastAsia="fr-FR"/>
        </w:rPr>
        <w:t xml:space="preserve"> </w:t>
      </w:r>
      <w:r w:rsidR="00A64743">
        <w:rPr>
          <w:rFonts w:ascii="Arial" w:eastAsia="Times New Roman" w:hAnsi="Arial" w:cs="Arial"/>
          <w:color w:val="002060"/>
          <w:sz w:val="24"/>
          <w:szCs w:val="24"/>
          <w:lang w:eastAsia="fr-FR"/>
        </w:rPr>
        <w:t xml:space="preserve"> – lieu </w:t>
      </w:r>
    </w:p>
    <w:p w:rsidR="007E6BBD" w:rsidRDefault="007E6BBD" w:rsidP="007E6BBD">
      <w:pPr>
        <w:spacing w:after="0" w:line="240" w:lineRule="auto"/>
        <w:rPr>
          <w:rFonts w:ascii="Arial" w:eastAsia="Times New Roman" w:hAnsi="Arial" w:cs="Arial"/>
          <w:color w:val="002060"/>
          <w:sz w:val="24"/>
          <w:szCs w:val="24"/>
          <w:lang w:eastAsia="fr-FR"/>
        </w:rPr>
      </w:pPr>
    </w:p>
    <w:p w:rsidR="007E6BBD" w:rsidRPr="000B39EA" w:rsidRDefault="007E6BBD" w:rsidP="007E6BBD">
      <w:pPr>
        <w:spacing w:after="0" w:line="240" w:lineRule="auto"/>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3 –</w:t>
      </w:r>
      <w:r w:rsidR="00ED6F16">
        <w:rPr>
          <w:rFonts w:ascii="Arial" w:eastAsia="Times New Roman" w:hAnsi="Arial" w:cs="Arial"/>
          <w:b/>
          <w:color w:val="002060"/>
          <w:sz w:val="24"/>
          <w:szCs w:val="24"/>
          <w:lang w:eastAsia="fr-FR"/>
        </w:rPr>
        <w:t xml:space="preserve"> Présentation d’un briefing : </w:t>
      </w:r>
      <w:r>
        <w:rPr>
          <w:rFonts w:ascii="Arial" w:eastAsia="Times New Roman" w:hAnsi="Arial" w:cs="Arial"/>
          <w:color w:val="002060"/>
          <w:sz w:val="24"/>
          <w:szCs w:val="24"/>
          <w:lang w:eastAsia="fr-FR"/>
        </w:rPr>
        <w:t>phase descriptive -  phase d’analyse – phase de mise en œuvre et de synthèse</w:t>
      </w:r>
    </w:p>
    <w:p w:rsidR="007E6BBD" w:rsidRPr="00D535DC" w:rsidRDefault="007E6BBD" w:rsidP="007E6BBD">
      <w:pPr>
        <w:spacing w:after="0" w:line="240" w:lineRule="auto"/>
        <w:rPr>
          <w:rFonts w:ascii="Arial" w:eastAsia="Times New Roman" w:hAnsi="Arial" w:cs="Arial"/>
          <w:color w:val="002060"/>
          <w:sz w:val="24"/>
          <w:szCs w:val="24"/>
          <w:lang w:eastAsia="fr-FR"/>
        </w:rPr>
      </w:pPr>
    </w:p>
    <w:p w:rsidR="007E6BBD" w:rsidRDefault="007E6BBD" w:rsidP="007E6BBD">
      <w:pPr>
        <w:spacing w:after="0" w:line="240" w:lineRule="auto"/>
        <w:jc w:val="both"/>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4</w:t>
      </w:r>
      <w:r w:rsidRPr="000B39EA">
        <w:rPr>
          <w:rFonts w:ascii="Arial" w:eastAsia="Times New Roman" w:hAnsi="Arial" w:cs="Arial"/>
          <w:b/>
          <w:color w:val="002060"/>
          <w:sz w:val="24"/>
          <w:szCs w:val="24"/>
          <w:lang w:eastAsia="fr-FR"/>
        </w:rPr>
        <w:t xml:space="preserve"> – Atelier</w:t>
      </w:r>
      <w:r>
        <w:rPr>
          <w:rFonts w:ascii="Arial" w:eastAsia="Times New Roman" w:hAnsi="Arial" w:cs="Arial"/>
          <w:b/>
          <w:color w:val="002060"/>
          <w:sz w:val="24"/>
          <w:szCs w:val="24"/>
          <w:lang w:eastAsia="fr-FR"/>
        </w:rPr>
        <w:t xml:space="preserve"> n°1</w:t>
      </w:r>
      <w:r w:rsidRPr="000B39EA">
        <w:rPr>
          <w:rFonts w:ascii="Arial" w:eastAsia="Times New Roman" w:hAnsi="Arial" w:cs="Arial"/>
          <w:b/>
          <w:color w:val="002060"/>
          <w:sz w:val="24"/>
          <w:szCs w:val="24"/>
          <w:lang w:eastAsia="fr-FR"/>
        </w:rPr>
        <w:t> :</w:t>
      </w:r>
      <w:r w:rsidR="00A64743">
        <w:rPr>
          <w:rFonts w:ascii="Arial" w:eastAsia="Times New Roman" w:hAnsi="Arial" w:cs="Arial"/>
          <w:color w:val="002060"/>
          <w:sz w:val="24"/>
          <w:szCs w:val="24"/>
          <w:lang w:eastAsia="fr-FR"/>
        </w:rPr>
        <w:t xml:space="preserve"> Conduite d’un </w:t>
      </w:r>
      <w:r>
        <w:rPr>
          <w:rFonts w:ascii="Arial" w:eastAsia="Times New Roman" w:hAnsi="Arial" w:cs="Arial"/>
          <w:color w:val="002060"/>
          <w:sz w:val="24"/>
          <w:szCs w:val="24"/>
          <w:lang w:eastAsia="fr-FR"/>
        </w:rPr>
        <w:t>briefing à partir d’un événement  proposé</w:t>
      </w:r>
      <w:r w:rsidRPr="000B39EA">
        <w:rPr>
          <w:rFonts w:ascii="Arial" w:eastAsia="Times New Roman" w:hAnsi="Arial" w:cs="Arial"/>
          <w:color w:val="002060"/>
          <w:sz w:val="24"/>
          <w:szCs w:val="24"/>
          <w:lang w:eastAsia="fr-FR"/>
        </w:rPr>
        <w:t xml:space="preserve"> par les participants</w:t>
      </w:r>
      <w:r>
        <w:rPr>
          <w:rFonts w:ascii="Arial" w:eastAsia="Times New Roman" w:hAnsi="Arial" w:cs="Arial"/>
          <w:color w:val="002060"/>
          <w:sz w:val="24"/>
          <w:szCs w:val="24"/>
          <w:lang w:eastAsia="fr-FR"/>
        </w:rPr>
        <w:t xml:space="preserve"> sous la conduite de l’intervenant.</w:t>
      </w:r>
    </w:p>
    <w:p w:rsidR="007E6BBD" w:rsidRDefault="007E6BBD" w:rsidP="007E6BBD">
      <w:pPr>
        <w:spacing w:after="0" w:line="240" w:lineRule="auto"/>
        <w:jc w:val="both"/>
        <w:rPr>
          <w:rFonts w:ascii="Arial" w:eastAsia="Times New Roman" w:hAnsi="Arial" w:cs="Arial"/>
          <w:color w:val="002060"/>
          <w:sz w:val="24"/>
          <w:szCs w:val="24"/>
          <w:lang w:eastAsia="fr-FR"/>
        </w:rPr>
      </w:pPr>
    </w:p>
    <w:p w:rsidR="007E6BBD" w:rsidRDefault="007E6BBD" w:rsidP="007E6BBD">
      <w:pPr>
        <w:spacing w:after="0" w:line="240" w:lineRule="auto"/>
        <w:jc w:val="both"/>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5</w:t>
      </w:r>
      <w:r w:rsidRPr="00AC70D9">
        <w:rPr>
          <w:rFonts w:ascii="Arial" w:eastAsia="Times New Roman" w:hAnsi="Arial" w:cs="Arial"/>
          <w:b/>
          <w:color w:val="002060"/>
          <w:sz w:val="24"/>
          <w:szCs w:val="24"/>
          <w:lang w:eastAsia="fr-FR"/>
        </w:rPr>
        <w:t xml:space="preserve"> – Atelier n°2 :</w:t>
      </w:r>
      <w:r>
        <w:rPr>
          <w:rFonts w:ascii="Arial" w:eastAsia="Times New Roman" w:hAnsi="Arial" w:cs="Arial"/>
          <w:b/>
          <w:color w:val="002060"/>
          <w:sz w:val="24"/>
          <w:szCs w:val="24"/>
          <w:lang w:eastAsia="fr-FR"/>
        </w:rPr>
        <w:t xml:space="preserve"> </w:t>
      </w:r>
      <w:r w:rsidRPr="00AC70D9">
        <w:rPr>
          <w:rFonts w:ascii="Arial" w:eastAsia="Times New Roman" w:hAnsi="Arial" w:cs="Arial"/>
          <w:color w:val="002060"/>
          <w:sz w:val="24"/>
          <w:szCs w:val="24"/>
          <w:lang w:eastAsia="fr-FR"/>
        </w:rPr>
        <w:t>Analyse</w:t>
      </w:r>
      <w:r w:rsidR="00A64743">
        <w:rPr>
          <w:rFonts w:ascii="Arial" w:eastAsia="Times New Roman" w:hAnsi="Arial" w:cs="Arial"/>
          <w:color w:val="002060"/>
          <w:sz w:val="24"/>
          <w:szCs w:val="24"/>
          <w:lang w:eastAsia="fr-FR"/>
        </w:rPr>
        <w:t xml:space="preserve"> et dé</w:t>
      </w:r>
      <w:r>
        <w:rPr>
          <w:rFonts w:ascii="Arial" w:eastAsia="Times New Roman" w:hAnsi="Arial" w:cs="Arial"/>
          <w:color w:val="002060"/>
          <w:sz w:val="24"/>
          <w:szCs w:val="24"/>
          <w:lang w:eastAsia="fr-FR"/>
        </w:rPr>
        <w:t>briefing en groupe autonome à partir d’un autre événement proposé.</w:t>
      </w:r>
    </w:p>
    <w:p w:rsidR="007E6BBD" w:rsidRPr="00314DE9" w:rsidRDefault="007E6BBD" w:rsidP="007E6BBD">
      <w:pPr>
        <w:spacing w:after="0" w:line="240" w:lineRule="auto"/>
        <w:rPr>
          <w:rFonts w:ascii="Arial" w:eastAsia="Times New Roman" w:hAnsi="Arial" w:cs="Arial"/>
          <w:b/>
          <w:color w:val="002060"/>
          <w:sz w:val="24"/>
          <w:szCs w:val="24"/>
          <w:lang w:eastAsia="fr-FR"/>
        </w:rPr>
      </w:pPr>
    </w:p>
    <w:p w:rsidR="007E6BBD" w:rsidRPr="000B39EA" w:rsidRDefault="0000546B"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6</w:t>
      </w:r>
      <w:r w:rsidR="007E6BBD" w:rsidRPr="000B39EA">
        <w:rPr>
          <w:rFonts w:ascii="Arial" w:eastAsia="Times New Roman" w:hAnsi="Arial" w:cs="Arial"/>
          <w:b/>
          <w:color w:val="002060"/>
          <w:sz w:val="24"/>
          <w:szCs w:val="24"/>
          <w:lang w:eastAsia="fr-FR"/>
        </w:rPr>
        <w:t xml:space="preserve"> </w:t>
      </w:r>
      <w:r w:rsidR="007E6BBD">
        <w:rPr>
          <w:rFonts w:ascii="Arial" w:eastAsia="Times New Roman" w:hAnsi="Arial" w:cs="Arial"/>
          <w:b/>
          <w:color w:val="002060"/>
          <w:sz w:val="24"/>
          <w:szCs w:val="24"/>
          <w:lang w:eastAsia="fr-FR"/>
        </w:rPr>
        <w:t>–</w:t>
      </w:r>
      <w:r w:rsidR="007E6BBD" w:rsidRPr="000B39EA">
        <w:rPr>
          <w:rFonts w:ascii="Arial" w:eastAsia="Times New Roman" w:hAnsi="Arial" w:cs="Arial"/>
          <w:b/>
          <w:color w:val="002060"/>
          <w:sz w:val="24"/>
          <w:szCs w:val="24"/>
          <w:lang w:eastAsia="fr-FR"/>
        </w:rPr>
        <w:t xml:space="preserve"> Les</w:t>
      </w:r>
      <w:r w:rsidR="007E6BBD">
        <w:rPr>
          <w:rFonts w:ascii="Arial" w:eastAsia="Times New Roman" w:hAnsi="Arial" w:cs="Arial"/>
          <w:b/>
          <w:color w:val="002060"/>
          <w:sz w:val="24"/>
          <w:szCs w:val="24"/>
          <w:lang w:eastAsia="fr-FR"/>
        </w:rPr>
        <w:t xml:space="preserve"> </w:t>
      </w:r>
      <w:r w:rsidR="007E6BBD" w:rsidRPr="000B39EA">
        <w:rPr>
          <w:rFonts w:ascii="Arial" w:eastAsia="Times New Roman" w:hAnsi="Arial" w:cs="Arial"/>
          <w:b/>
          <w:color w:val="002060"/>
          <w:sz w:val="24"/>
          <w:szCs w:val="24"/>
          <w:lang w:eastAsia="fr-FR"/>
        </w:rPr>
        <w:t xml:space="preserve"> facteurs clés de succès d’</w:t>
      </w:r>
      <w:r w:rsidR="00A64743">
        <w:rPr>
          <w:rFonts w:ascii="Arial" w:eastAsia="Times New Roman" w:hAnsi="Arial" w:cs="Arial"/>
          <w:b/>
          <w:color w:val="002060"/>
          <w:sz w:val="24"/>
          <w:szCs w:val="24"/>
          <w:lang w:eastAsia="fr-FR"/>
        </w:rPr>
        <w:t xml:space="preserve">un </w:t>
      </w:r>
      <w:r w:rsidR="007E6BBD">
        <w:rPr>
          <w:rFonts w:ascii="Arial" w:eastAsia="Times New Roman" w:hAnsi="Arial" w:cs="Arial"/>
          <w:b/>
          <w:color w:val="002060"/>
          <w:sz w:val="24"/>
          <w:szCs w:val="24"/>
          <w:lang w:eastAsia="fr-FR"/>
        </w:rPr>
        <w:t>briefing.</w:t>
      </w:r>
    </w:p>
    <w:p w:rsidR="007E6BBD" w:rsidRPr="00D535DC" w:rsidRDefault="007E6BBD" w:rsidP="007E6BBD">
      <w:pPr>
        <w:spacing w:after="0" w:line="240" w:lineRule="auto"/>
        <w:ind w:firstLine="60"/>
        <w:rPr>
          <w:rFonts w:ascii="Arial" w:eastAsia="Times New Roman" w:hAnsi="Arial" w:cs="Arial"/>
          <w:color w:val="002060"/>
          <w:sz w:val="24"/>
          <w:szCs w:val="24"/>
          <w:lang w:eastAsia="fr-FR"/>
        </w:rPr>
      </w:pPr>
    </w:p>
    <w:p w:rsidR="0000546B" w:rsidRDefault="0000546B"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7</w:t>
      </w:r>
      <w:r w:rsidR="007E6BBD" w:rsidRPr="000B39EA">
        <w:rPr>
          <w:rFonts w:ascii="Arial" w:eastAsia="Times New Roman" w:hAnsi="Arial" w:cs="Arial"/>
          <w:b/>
          <w:color w:val="002060"/>
          <w:sz w:val="24"/>
          <w:szCs w:val="24"/>
          <w:lang w:eastAsia="fr-FR"/>
        </w:rPr>
        <w:t xml:space="preserve"> </w:t>
      </w:r>
      <w:r w:rsidR="007E6BBD">
        <w:rPr>
          <w:rFonts w:ascii="Arial" w:eastAsia="Times New Roman" w:hAnsi="Arial" w:cs="Arial"/>
          <w:b/>
          <w:color w:val="002060"/>
          <w:sz w:val="24"/>
          <w:szCs w:val="24"/>
          <w:lang w:eastAsia="fr-FR"/>
        </w:rPr>
        <w:t>–</w:t>
      </w:r>
      <w:r w:rsidR="007E6BBD" w:rsidRPr="000B39EA">
        <w:rPr>
          <w:rFonts w:ascii="Arial" w:eastAsia="Times New Roman" w:hAnsi="Arial" w:cs="Arial"/>
          <w:b/>
          <w:color w:val="002060"/>
          <w:sz w:val="24"/>
          <w:szCs w:val="24"/>
          <w:lang w:eastAsia="fr-FR"/>
        </w:rPr>
        <w:t xml:space="preserve"> Plans</w:t>
      </w:r>
      <w:r w:rsidR="007E6BBD">
        <w:rPr>
          <w:rFonts w:ascii="Arial" w:eastAsia="Times New Roman" w:hAnsi="Arial" w:cs="Arial"/>
          <w:b/>
          <w:color w:val="002060"/>
          <w:sz w:val="24"/>
          <w:szCs w:val="24"/>
          <w:lang w:eastAsia="fr-FR"/>
        </w:rPr>
        <w:t xml:space="preserve"> </w:t>
      </w:r>
      <w:r w:rsidR="007E6BBD" w:rsidRPr="000B39EA">
        <w:rPr>
          <w:rFonts w:ascii="Arial" w:eastAsia="Times New Roman" w:hAnsi="Arial" w:cs="Arial"/>
          <w:b/>
          <w:color w:val="002060"/>
          <w:sz w:val="24"/>
          <w:szCs w:val="24"/>
          <w:lang w:eastAsia="fr-FR"/>
        </w:rPr>
        <w:t xml:space="preserve"> d'actions à l’issue de la formation</w:t>
      </w:r>
    </w:p>
    <w:p w:rsidR="0000546B" w:rsidRDefault="007E6BBD" w:rsidP="007E6BBD">
      <w:pPr>
        <w:spacing w:after="0" w:line="240" w:lineRule="auto"/>
        <w:rPr>
          <w:rFonts w:ascii="Arial" w:eastAsia="Times New Roman" w:hAnsi="Arial" w:cs="Arial"/>
          <w:b/>
          <w:color w:val="002060"/>
          <w:sz w:val="24"/>
          <w:szCs w:val="24"/>
          <w:lang w:eastAsia="fr-FR"/>
        </w:rPr>
      </w:pPr>
      <w:r w:rsidRPr="000B39EA">
        <w:rPr>
          <w:rFonts w:ascii="Arial" w:eastAsia="Times New Roman" w:hAnsi="Arial" w:cs="Arial"/>
          <w:b/>
          <w:color w:val="002060"/>
          <w:sz w:val="24"/>
          <w:szCs w:val="24"/>
          <w:lang w:eastAsia="fr-FR"/>
        </w:rPr>
        <w:t xml:space="preserve"> </w:t>
      </w:r>
    </w:p>
    <w:p w:rsidR="007E6BBD" w:rsidRPr="000B39EA" w:rsidRDefault="0000546B" w:rsidP="007E6BB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 xml:space="preserve">8 </w:t>
      </w:r>
      <w:r w:rsidR="007E6BBD" w:rsidRPr="000B39EA">
        <w:rPr>
          <w:rFonts w:ascii="Arial" w:eastAsia="Times New Roman" w:hAnsi="Arial" w:cs="Arial"/>
          <w:b/>
          <w:color w:val="002060"/>
          <w:sz w:val="24"/>
          <w:szCs w:val="24"/>
          <w:lang w:eastAsia="fr-FR"/>
        </w:rPr>
        <w:t>– Bilan. </w:t>
      </w:r>
    </w:p>
    <w:p w:rsidR="00563478" w:rsidRDefault="00563478"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bookmarkStart w:id="0" w:name="_GoBack"/>
      <w:bookmarkEnd w:id="0"/>
    </w:p>
    <w:p w:rsidR="004B60BE" w:rsidRDefault="004B60BE"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4B60BE" w:rsidRDefault="004B60BE" w:rsidP="00AB5306">
      <w:pPr>
        <w:spacing w:after="0" w:line="240" w:lineRule="auto"/>
        <w:rPr>
          <w:rFonts w:ascii="Times New Roman" w:eastAsia="Times New Roman" w:hAnsi="Times New Roman" w:cs="Times New Roman"/>
          <w:sz w:val="24"/>
          <w:szCs w:val="24"/>
          <w:lang w:eastAsia="fr-FR"/>
        </w:rPr>
      </w:pPr>
    </w:p>
    <w:p w:rsidR="00563478" w:rsidRPr="00AB5306" w:rsidRDefault="00563478"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pédagogiques mises en œuvre</w:t>
      </w: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Arial" w:eastAsia="Times New Roman" w:hAnsi="Arial" w:cs="Arial"/>
          <w:b/>
          <w:color w:val="002060"/>
          <w:sz w:val="24"/>
          <w:szCs w:val="24"/>
          <w:lang w:eastAsia="fr-FR"/>
        </w:rPr>
      </w:pPr>
      <w:r w:rsidRPr="00AB5306">
        <w:rPr>
          <w:rFonts w:ascii="Arial" w:eastAsia="Times New Roman" w:hAnsi="Arial" w:cs="Arial"/>
          <w:color w:val="002060"/>
          <w:sz w:val="24"/>
          <w:szCs w:val="24"/>
          <w:lang w:eastAsia="fr-FR"/>
        </w:rPr>
        <w:t xml:space="preserve">Cette formation s'appuie sur des films présentant des situations vécues. Les scenarii de ces films mettent en évidence des comportements non adaptés à la situation de travail. Ils ont été écrits en se référant à des expériences vécues par des équipes. </w:t>
      </w:r>
    </w:p>
    <w:p w:rsidR="00AB5306" w:rsidRPr="00AB5306" w:rsidRDefault="00AB5306" w:rsidP="00AB5306">
      <w:pPr>
        <w:spacing w:after="0" w:line="240" w:lineRule="auto"/>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Les formateurs présentent les processus cognitifs qui sont à l'origine des erreurs humaines au regard des comportements adoptés en situation de travail et installent un débat pour que chacun soit en mesure de s’approprier ces concepts. </w:t>
      </w:r>
    </w:p>
    <w:p w:rsidR="00AB5306" w:rsidRPr="00AB5306" w:rsidRDefault="00AB5306" w:rsidP="00AB5306">
      <w:pPr>
        <w:spacing w:after="0"/>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Une fois ces processus cognitifs acquis, les formateurs présentent les pratiques sécuritaires permettant de réduire l'occurrence de ces erreurs. Certaines de ces pratiques applicables dans le domaine d’activité de chaque participant sont construites en groupe durant des ateliers. </w:t>
      </w: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de l’évaluation de l’action</w:t>
      </w:r>
    </w:p>
    <w:p w:rsidR="00AB5306" w:rsidRPr="00AB5306" w:rsidRDefault="00AB5306" w:rsidP="00AB5306">
      <w:pPr>
        <w:spacing w:after="120"/>
        <w:ind w:left="714"/>
        <w:contextualSpacing/>
        <w:jc w:val="both"/>
        <w:rPr>
          <w:rFonts w:ascii="Arial" w:eastAsia="Times New Roman" w:hAnsi="Arial" w:cs="Arial"/>
          <w:color w:val="002060"/>
          <w:sz w:val="24"/>
          <w:szCs w:val="24"/>
          <w:lang w:eastAsia="fr-FR"/>
        </w:rPr>
      </w:pPr>
    </w:p>
    <w:p w:rsidR="00AB5306" w:rsidRPr="00AB5306" w:rsidRDefault="00AB5306" w:rsidP="00AB5306">
      <w:pPr>
        <w:numPr>
          <w:ilvl w:val="0"/>
          <w:numId w:val="8"/>
        </w:numPr>
        <w:spacing w:after="120" w:line="240" w:lineRule="auto"/>
        <w:ind w:left="714" w:hanging="357"/>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En amont de la formation,</w:t>
      </w:r>
      <w:r w:rsidRPr="00AB5306">
        <w:rPr>
          <w:rFonts w:ascii="Arial" w:eastAsia="Times New Roman" w:hAnsi="Arial" w:cs="Arial"/>
          <w:color w:val="002060"/>
          <w:sz w:val="24"/>
          <w:szCs w:val="24"/>
          <w:lang w:eastAsia="fr-FR"/>
        </w:rPr>
        <w:t xml:space="preserve"> un questionnaire est présenté aux participants sur le livret de formation pour évaluer les pratiques et les méthodes en cours dans l’établissement dans le domaine du retour d’expérience et de l’analyse des événements. </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La formation</w:t>
      </w:r>
      <w:r w:rsidRPr="00AB5306">
        <w:rPr>
          <w:rFonts w:ascii="Arial" w:eastAsia="Times New Roman" w:hAnsi="Arial" w:cs="Arial"/>
          <w:color w:val="002060"/>
          <w:sz w:val="24"/>
          <w:szCs w:val="24"/>
          <w:lang w:eastAsia="fr-FR"/>
        </w:rPr>
        <w:t xml:space="preserve"> est réalisée conformément au programme ci-dessous. A l’issue de la formation une évaluation permet de mesurer les acquis.</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u w:val="single"/>
          <w:lang w:eastAsia="fr-FR"/>
        </w:rPr>
      </w:pPr>
      <w:r w:rsidRPr="00AB5306">
        <w:rPr>
          <w:rFonts w:ascii="Arial" w:eastAsia="Times New Roman" w:hAnsi="Arial" w:cs="Arial"/>
          <w:b/>
          <w:color w:val="002060"/>
          <w:sz w:val="24"/>
          <w:szCs w:val="24"/>
          <w:lang w:eastAsia="fr-FR"/>
        </w:rPr>
        <w:t>Trois mois ou plus après la formation</w:t>
      </w:r>
      <w:r w:rsidRPr="00AB5306">
        <w:rPr>
          <w:rFonts w:ascii="Arial" w:eastAsia="Times New Roman" w:hAnsi="Arial" w:cs="Arial"/>
          <w:color w:val="002060"/>
          <w:sz w:val="24"/>
          <w:szCs w:val="24"/>
          <w:lang w:eastAsia="fr-FR"/>
        </w:rPr>
        <w:t>, chaque participant actualise les réponses apportées au questionnaire en amont ; l’objet est d’observer une évolution au travers d’une nouvelle évaluation des pratiques, d’effectuer un bilan des  acquis et de la mise en œuvre de la méthode.</w:t>
      </w:r>
    </w:p>
    <w:p w:rsidR="00AB5306" w:rsidRDefault="00AB5306" w:rsidP="003463ED">
      <w:pPr>
        <w:spacing w:after="0" w:line="240" w:lineRule="auto"/>
        <w:rPr>
          <w:rFonts w:ascii="Arial" w:eastAsia="Times New Roman" w:hAnsi="Arial" w:cs="Arial"/>
          <w:color w:val="002060"/>
          <w:sz w:val="24"/>
          <w:szCs w:val="24"/>
          <w:lang w:eastAsia="fr-FR"/>
        </w:rPr>
      </w:pPr>
    </w:p>
    <w:p w:rsidR="005454E4" w:rsidRDefault="005454E4" w:rsidP="003463ED">
      <w:pPr>
        <w:spacing w:after="0" w:line="240" w:lineRule="auto"/>
        <w:rPr>
          <w:rFonts w:ascii="Arial" w:eastAsia="Times New Roman" w:hAnsi="Arial" w:cs="Arial"/>
          <w:color w:val="002060"/>
          <w:sz w:val="24"/>
          <w:szCs w:val="24"/>
          <w:lang w:eastAsia="fr-FR"/>
        </w:rPr>
      </w:pPr>
    </w:p>
    <w:p w:rsidR="005454E4" w:rsidRPr="005454E4" w:rsidRDefault="005454E4" w:rsidP="005454E4">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Références, recommandations, bibliographies utilisées dans le cadre de l’action</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spacing w:after="0" w:line="240" w:lineRule="auto"/>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Guide HAS / Juillet 2011 / page 92</w:t>
      </w:r>
    </w:p>
    <w:p w:rsidR="005454E4" w:rsidRPr="005454E4" w:rsidRDefault="005454E4" w:rsidP="005454E4">
      <w:pPr>
        <w:spacing w:after="0" w:line="240" w:lineRule="auto"/>
        <w:rPr>
          <w:rFonts w:ascii="Times New Roman" w:eastAsia="Times New Roman" w:hAnsi="Times New Roman" w:cs="Times New Roman"/>
          <w:b/>
          <w:sz w:val="24"/>
          <w:szCs w:val="24"/>
          <w:lang w:eastAsia="fr-FR"/>
        </w:rPr>
      </w:pPr>
    </w:p>
    <w:p w:rsidR="005454E4" w:rsidRPr="005454E4" w:rsidRDefault="005454E4" w:rsidP="005454E4">
      <w:pPr>
        <w:spacing w:after="0" w:line="240" w:lineRule="auto"/>
        <w:jc w:val="both"/>
        <w:rPr>
          <w:rFonts w:ascii="Arial" w:eastAsia="Times New Roman" w:hAnsi="Arial" w:cs="Arial"/>
          <w:b/>
          <w:sz w:val="28"/>
          <w:szCs w:val="24"/>
          <w:u w:val="single"/>
          <w:lang w:eastAsia="fr-FR"/>
        </w:rPr>
      </w:pPr>
      <w:r w:rsidRPr="005454E4">
        <w:rPr>
          <w:rFonts w:ascii="Arial" w:eastAsia="Times New Roman" w:hAnsi="Arial" w:cs="Arial"/>
          <w:b/>
          <w:bCs/>
          <w:color w:val="001AD2"/>
          <w:sz w:val="28"/>
          <w:szCs w:val="24"/>
          <w:lang w:eastAsia="fr-FR"/>
        </w:rPr>
        <w:t xml:space="preserve">Comité de retour d’expérience </w:t>
      </w:r>
      <w:r w:rsidRPr="005454E4">
        <w:rPr>
          <w:rFonts w:ascii="Arial" w:eastAsia="Times New Roman" w:hAnsi="Arial" w:cs="Arial"/>
          <w:color w:val="001AD2"/>
          <w:sz w:val="28"/>
          <w:szCs w:val="24"/>
          <w:lang w:eastAsia="fr-FR"/>
        </w:rPr>
        <w:t>(CREX)</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Le </w:t>
      </w:r>
      <w:r w:rsidRPr="005454E4">
        <w:rPr>
          <w:rFonts w:ascii="Arial" w:eastAsia="Times New Roman" w:hAnsi="Arial" w:cs="Arial"/>
          <w:b/>
          <w:bCs/>
          <w:color w:val="001AD2"/>
          <w:sz w:val="24"/>
          <w:szCs w:val="24"/>
          <w:lang w:eastAsia="fr-FR"/>
        </w:rPr>
        <w:t xml:space="preserve">retour d’expérience </w:t>
      </w:r>
      <w:r w:rsidRPr="005454E4">
        <w:rPr>
          <w:rFonts w:ascii="Arial" w:eastAsia="Times New Roman" w:hAnsi="Arial" w:cs="Arial"/>
          <w:color w:val="000000"/>
          <w:sz w:val="24"/>
          <w:szCs w:val="24"/>
          <w:lang w:eastAsia="fr-FR"/>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p>
    <w:p w:rsidR="00667235" w:rsidRPr="005454E4" w:rsidRDefault="00667235"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b/>
          <w:bCs/>
          <w:color w:val="001AD2"/>
          <w:sz w:val="24"/>
          <w:szCs w:val="24"/>
          <w:lang w:eastAsia="fr-FR"/>
        </w:rPr>
        <w:lastRenderedPageBreak/>
        <w:t xml:space="preserve">Objectif </w:t>
      </w:r>
      <w:r w:rsidRPr="005454E4">
        <w:rPr>
          <w:rFonts w:ascii="Arial" w:eastAsia="Times New Roman" w:hAnsi="Arial" w:cs="Arial"/>
          <w:color w:val="000000"/>
          <w:sz w:val="24"/>
          <w:szCs w:val="24"/>
          <w:lang w:eastAsia="fr-FR"/>
        </w:rPr>
        <w:t>:</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Il s’agit d’une </w:t>
      </w:r>
      <w:r w:rsidRPr="005454E4">
        <w:rPr>
          <w:rFonts w:ascii="Arial" w:eastAsia="Times New Roman" w:hAnsi="Arial" w:cs="Arial"/>
          <w:b/>
          <w:bCs/>
          <w:color w:val="001AD2"/>
          <w:sz w:val="24"/>
          <w:szCs w:val="24"/>
          <w:lang w:eastAsia="fr-FR"/>
        </w:rPr>
        <w:t xml:space="preserve">démarche collective </w:t>
      </w:r>
      <w:r w:rsidRPr="005454E4">
        <w:rPr>
          <w:rFonts w:ascii="Arial" w:eastAsia="Times New Roman" w:hAnsi="Arial" w:cs="Arial"/>
          <w:color w:val="000000"/>
          <w:sz w:val="24"/>
          <w:szCs w:val="24"/>
          <w:lang w:eastAsia="fr-FR"/>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5454E4" w:rsidRPr="005454E4" w:rsidRDefault="005454E4" w:rsidP="005454E4">
      <w:pPr>
        <w:autoSpaceDE w:val="0"/>
        <w:autoSpaceDN w:val="0"/>
        <w:adjustRightInd w:val="0"/>
        <w:spacing w:before="240" w:after="120" w:line="240" w:lineRule="auto"/>
        <w:jc w:val="both"/>
        <w:rPr>
          <w:rFonts w:ascii="Arial" w:eastAsia="Times New Roman" w:hAnsi="Arial" w:cs="Arial"/>
          <w:b/>
          <w:bCs/>
          <w:color w:val="001AD2"/>
          <w:sz w:val="24"/>
          <w:szCs w:val="24"/>
          <w:lang w:eastAsia="fr-FR"/>
        </w:rPr>
      </w:pPr>
      <w:r w:rsidRPr="005454E4">
        <w:rPr>
          <w:rFonts w:ascii="Arial" w:eastAsia="Times New Roman" w:hAnsi="Arial" w:cs="Arial"/>
          <w:b/>
          <w:bCs/>
          <w:color w:val="001AD2"/>
          <w:sz w:val="24"/>
          <w:szCs w:val="24"/>
          <w:lang w:eastAsia="fr-FR"/>
        </w:rPr>
        <w:t>Conduire de la démarche en 7 étapes</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des évènements du mois (Fréquence mensuelle – durée idéale : de 1h15 à 1h30) Écoute et recensement des événements du mois écoulé.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collégial par le CREX d’un évènement</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présence obligatoire de chacune des fonctions (médicale, paramédicale, pharmaceutique), (5 à 8 personnes, etc.),</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seul événement pour analyse – recours possible à une analyse de criticité pour étayer le choix (produit de la fréquence par la gravité).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pilote (formé à la méthode spécifique Orion)</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par le pilote de l’analyse Orion de l’événement choisi lors du CREX précédent</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des actions correctives et désignation du responsable de l’action et de son échéance</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Suivi des actions correctives précédentes</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IFSA – Dédale – René </w:t>
      </w:r>
      <w:proofErr w:type="spellStart"/>
      <w:r w:rsidRPr="005454E4">
        <w:rPr>
          <w:rFonts w:ascii="Arial" w:eastAsia="Times New Roman" w:hAnsi="Arial" w:cs="Arial"/>
          <w:sz w:val="24"/>
          <w:szCs w:val="24"/>
          <w:lang w:eastAsia="fr-FR"/>
        </w:rPr>
        <w:t>Amalberti</w:t>
      </w:r>
      <w:proofErr w:type="spellEnd"/>
      <w:r w:rsidRPr="005454E4">
        <w:rPr>
          <w:rFonts w:ascii="Arial" w:eastAsia="Times New Roman" w:hAnsi="Arial" w:cs="Arial"/>
          <w:sz w:val="24"/>
          <w:szCs w:val="24"/>
          <w:lang w:eastAsia="fr-FR"/>
        </w:rPr>
        <w:t xml:space="preserve"> « Briefings »</w:t>
      </w:r>
    </w:p>
    <w:p w:rsidR="005454E4" w:rsidRPr="005454E4" w:rsidRDefault="005454E4" w:rsidP="005454E4">
      <w:pPr>
        <w:spacing w:after="0" w:line="240" w:lineRule="auto"/>
        <w:ind w:left="340"/>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Woynar</w:t>
      </w:r>
      <w:proofErr w:type="spellEnd"/>
      <w:r w:rsidRPr="005454E4">
        <w:rPr>
          <w:rFonts w:ascii="Arial" w:eastAsia="Times New Roman" w:hAnsi="Arial" w:cs="Arial"/>
          <w:sz w:val="24"/>
          <w:szCs w:val="24"/>
          <w:lang w:eastAsia="fr-FR"/>
        </w:rPr>
        <w:t xml:space="preserve"> S, Debouck F, Cellier P, </w:t>
      </w:r>
      <w:proofErr w:type="spellStart"/>
      <w:r w:rsidRPr="005454E4">
        <w:rPr>
          <w:rFonts w:ascii="Arial" w:eastAsia="Times New Roman" w:hAnsi="Arial" w:cs="Arial"/>
          <w:sz w:val="24"/>
          <w:szCs w:val="24"/>
          <w:lang w:eastAsia="fr-FR"/>
        </w:rPr>
        <w:t>Bourhis</w:t>
      </w:r>
      <w:proofErr w:type="spellEnd"/>
      <w:r w:rsidRPr="005454E4">
        <w:rPr>
          <w:rFonts w:ascii="Arial" w:eastAsia="Times New Roman" w:hAnsi="Arial" w:cs="Arial"/>
          <w:sz w:val="24"/>
          <w:szCs w:val="24"/>
          <w:lang w:eastAsia="fr-FR"/>
        </w:rPr>
        <w:t xml:space="preserve"> J, </w:t>
      </w:r>
      <w:proofErr w:type="spellStart"/>
      <w:r w:rsidRPr="005454E4">
        <w:rPr>
          <w:rFonts w:ascii="Arial" w:eastAsia="Times New Roman" w:hAnsi="Arial" w:cs="Arial"/>
          <w:sz w:val="24"/>
          <w:szCs w:val="24"/>
          <w:lang w:eastAsia="fr-FR"/>
        </w:rPr>
        <w:t>Cauterman</w:t>
      </w:r>
      <w:proofErr w:type="spellEnd"/>
      <w:r w:rsidRPr="005454E4">
        <w:rPr>
          <w:rFonts w:ascii="Arial" w:eastAsia="Times New Roman" w:hAnsi="Arial" w:cs="Arial"/>
          <w:sz w:val="24"/>
          <w:szCs w:val="24"/>
          <w:lang w:eastAsia="fr-FR"/>
        </w:rPr>
        <w:t xml:space="preserve"> M,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Vers une politique sécurité » en oncologie radiothérapie. La mise en  œuvre du retour d’expérience »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2007;11:320–32.</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Debouck F, Petit H « Système de management de la qualité en Oncologie Radiothérapie : du transport aérien vers le monde médical », Hôpitaux magazine, avril 2008</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w:t>
      </w:r>
      <w:proofErr w:type="spellStart"/>
      <w:r w:rsidRPr="005454E4">
        <w:rPr>
          <w:rFonts w:ascii="Arial" w:eastAsia="Times New Roman" w:hAnsi="Arial" w:cs="Arial"/>
          <w:sz w:val="24"/>
          <w:szCs w:val="24"/>
          <w:lang w:eastAsia="fr-FR"/>
        </w:rPr>
        <w:t>Vitoux</w:t>
      </w:r>
      <w:proofErr w:type="spellEnd"/>
      <w:r w:rsidRPr="005454E4">
        <w:rPr>
          <w:rFonts w:ascii="Arial" w:eastAsia="Times New Roman" w:hAnsi="Arial" w:cs="Arial"/>
          <w:sz w:val="24"/>
          <w:szCs w:val="24"/>
          <w:lang w:eastAsia="fr-FR"/>
        </w:rPr>
        <w:t xml:space="preserve"> A, Debouck F. « </w:t>
      </w:r>
      <w:proofErr w:type="spellStart"/>
      <w:r w:rsidRPr="005454E4">
        <w:rPr>
          <w:rFonts w:ascii="Arial" w:eastAsia="Times New Roman" w:hAnsi="Arial" w:cs="Arial"/>
          <w:sz w:val="24"/>
          <w:szCs w:val="24"/>
          <w:lang w:eastAsia="fr-FR"/>
        </w:rPr>
        <w:t>Crex</w:t>
      </w:r>
      <w:proofErr w:type="spellEnd"/>
      <w:r w:rsidRPr="005454E4">
        <w:rPr>
          <w:rFonts w:ascii="Arial" w:eastAsia="Times New Roman" w:hAnsi="Arial" w:cs="Arial"/>
          <w:sz w:val="24"/>
          <w:szCs w:val="24"/>
          <w:lang w:eastAsia="fr-FR"/>
        </w:rPr>
        <w:t xml:space="preserve"> et analyse Orion en radiothérapie : vers une mutualisation des actions correctives </w:t>
      </w:r>
      <w:proofErr w:type="gramStart"/>
      <w:r w:rsidRPr="005454E4">
        <w:rPr>
          <w:rFonts w:ascii="Arial" w:eastAsia="Times New Roman" w:hAnsi="Arial" w:cs="Arial"/>
          <w:sz w:val="24"/>
          <w:szCs w:val="24"/>
          <w:lang w:eastAsia="fr-FR"/>
        </w:rPr>
        <w:t>» .</w:t>
      </w:r>
      <w:proofErr w:type="gramEnd"/>
      <w:r w:rsidRPr="005454E4">
        <w:rPr>
          <w:rFonts w:ascii="Arial" w:eastAsia="Times New Roman" w:hAnsi="Arial" w:cs="Arial"/>
          <w:sz w:val="24"/>
          <w:szCs w:val="24"/>
          <w:lang w:eastAsia="fr-FR"/>
        </w:rPr>
        <w:t xml:space="preserve">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2009; 458-460.</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Debouck F, Petit H-B,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De la mutualisation des comités de retour d’expérience (CREX) à l’audit des pratiques cliniques » </w:t>
      </w:r>
      <w:r w:rsidRPr="005454E4">
        <w:rPr>
          <w:rFonts w:ascii="Arial" w:eastAsia="Times New Roman" w:hAnsi="Arial" w:cs="Arial"/>
          <w:color w:val="000000"/>
          <w:sz w:val="24"/>
          <w:szCs w:val="24"/>
          <w:lang w:eastAsia="fr-FR"/>
        </w:rPr>
        <w:t xml:space="preserve">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2010; 571-575</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Debouck F, </w:t>
      </w:r>
      <w:proofErr w:type="spellStart"/>
      <w:r w:rsidRPr="005454E4">
        <w:rPr>
          <w:rFonts w:ascii="Arial" w:eastAsia="Times New Roman" w:hAnsi="Arial" w:cs="Arial"/>
          <w:sz w:val="24"/>
          <w:szCs w:val="24"/>
          <w:lang w:eastAsia="fr-FR"/>
        </w:rPr>
        <w:t>Rieger</w:t>
      </w:r>
      <w:proofErr w:type="spellEnd"/>
      <w:r w:rsidRPr="005454E4">
        <w:rPr>
          <w:rFonts w:ascii="Arial" w:eastAsia="Times New Roman" w:hAnsi="Arial" w:cs="Arial"/>
          <w:sz w:val="24"/>
          <w:szCs w:val="24"/>
          <w:lang w:eastAsia="fr-FR"/>
        </w:rPr>
        <w:t xml:space="preserve"> E, Petit H, Noël G., Ravinet L « Méthode ORION : analyse systémique simple et efficace des événements cliniques et des précurseurs survenant en pratique médicale hospitalière »</w:t>
      </w:r>
      <w:r w:rsidRPr="005454E4">
        <w:rPr>
          <w:rFonts w:ascii="Arial" w:eastAsia="Times New Roman" w:hAnsi="Arial" w:cs="Arial"/>
          <w:color w:val="000000"/>
          <w:sz w:val="24"/>
          <w:szCs w:val="24"/>
          <w:lang w:eastAsia="fr-FR"/>
        </w:rPr>
        <w:t xml:space="preserve"> 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16(2012) ; 201-208</w:t>
      </w:r>
    </w:p>
    <w:p w:rsidR="005454E4" w:rsidRPr="005454E4" w:rsidRDefault="005454E4" w:rsidP="005454E4">
      <w:pPr>
        <w:spacing w:after="0" w:line="240" w:lineRule="auto"/>
        <w:rPr>
          <w:rFonts w:ascii="Arial" w:eastAsia="Times New Roman" w:hAnsi="Arial" w:cs="Arial"/>
          <w:color w:val="002060"/>
          <w:sz w:val="24"/>
          <w:szCs w:val="24"/>
          <w:lang w:eastAsia="fr-FR"/>
        </w:rPr>
      </w:pPr>
    </w:p>
    <w:p w:rsidR="00904494" w:rsidRPr="00904494" w:rsidRDefault="00904494" w:rsidP="00904494">
      <w:pPr>
        <w:numPr>
          <w:ilvl w:val="0"/>
          <w:numId w:val="12"/>
        </w:numPr>
        <w:spacing w:after="0" w:line="240" w:lineRule="auto"/>
        <w:jc w:val="both"/>
        <w:rPr>
          <w:rFonts w:ascii="Arial" w:eastAsia="Times New Roman" w:hAnsi="Arial" w:cs="Arial"/>
          <w:sz w:val="24"/>
          <w:szCs w:val="24"/>
          <w:lang w:eastAsia="fr-FR"/>
        </w:rPr>
      </w:pPr>
      <w:r w:rsidRPr="00904494">
        <w:rPr>
          <w:rFonts w:ascii="Arial" w:eastAsia="Times New Roman" w:hAnsi="Arial" w:cs="Arial"/>
          <w:sz w:val="24"/>
          <w:szCs w:val="24"/>
          <w:lang w:eastAsia="fr-FR"/>
        </w:rPr>
        <w:t>Facteurs Humains</w:t>
      </w:r>
    </w:p>
    <w:p w:rsidR="00904494" w:rsidRPr="00904494" w:rsidRDefault="00904494" w:rsidP="00904494">
      <w:pPr>
        <w:spacing w:after="0" w:line="240" w:lineRule="auto"/>
        <w:ind w:left="720"/>
        <w:contextualSpacing/>
        <w:rPr>
          <w:rFonts w:ascii="Arial" w:eastAsia="Times New Roman" w:hAnsi="Arial" w:cs="Arial"/>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 xml:space="preserve">Facteurs humains et fiabilité </w:t>
      </w:r>
      <w:r w:rsidRPr="00904494">
        <w:rPr>
          <w:rFonts w:ascii="Arial" w:eastAsia="Times New Roman" w:hAnsi="Arial" w:cs="Arial"/>
          <w:bCs/>
          <w:color w:val="111111"/>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sous la direction de René </w:t>
      </w:r>
      <w:proofErr w:type="spellStart"/>
      <w:r w:rsidRPr="00904494">
        <w:rPr>
          <w:rFonts w:ascii="Arial" w:eastAsia="Times New Roman" w:hAnsi="Arial" w:cs="Arial"/>
          <w:bCs/>
          <w:i/>
          <w:color w:val="111111"/>
          <w:kern w:val="36"/>
          <w:sz w:val="24"/>
          <w:szCs w:val="24"/>
          <w:lang w:eastAsia="fr-FR"/>
        </w:rPr>
        <w:t>Amalberti</w:t>
      </w:r>
      <w:proofErr w:type="spellEnd"/>
      <w:r w:rsidRPr="00904494">
        <w:rPr>
          <w:rFonts w:ascii="Arial" w:eastAsia="Times New Roman" w:hAnsi="Arial" w:cs="Arial"/>
          <w:bCs/>
          <w:i/>
          <w:color w:val="111111"/>
          <w:kern w:val="36"/>
          <w:sz w:val="24"/>
          <w:szCs w:val="24"/>
          <w:lang w:eastAsia="fr-FR"/>
        </w:rPr>
        <w:t xml:space="preserve"> et Frédéric </w:t>
      </w:r>
      <w:proofErr w:type="spellStart"/>
      <w:r w:rsidRPr="00904494">
        <w:rPr>
          <w:rFonts w:ascii="Arial" w:eastAsia="Times New Roman" w:hAnsi="Arial" w:cs="Arial"/>
          <w:bCs/>
          <w:i/>
          <w:color w:val="111111"/>
          <w:kern w:val="36"/>
          <w:sz w:val="24"/>
          <w:szCs w:val="24"/>
          <w:lang w:eastAsia="fr-FR"/>
        </w:rPr>
        <w:t>Mosnerou</w:t>
      </w:r>
      <w:proofErr w:type="spellEnd"/>
      <w:r w:rsidRPr="00904494">
        <w:rPr>
          <w:rFonts w:ascii="Arial" w:eastAsia="Times New Roman" w:hAnsi="Arial" w:cs="Arial"/>
          <w:bCs/>
          <w:i/>
          <w:color w:val="111111"/>
          <w:kern w:val="36"/>
          <w:sz w:val="24"/>
          <w:szCs w:val="24"/>
          <w:lang w:eastAsia="fr-FR"/>
        </w:rPr>
        <w:t xml:space="preserve">-Dupin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Octares</w:t>
      </w:r>
      <w:proofErr w:type="spellEnd"/>
    </w:p>
    <w:p w:rsidR="00904494" w:rsidRPr="00904494" w:rsidRDefault="00904494" w:rsidP="00904494">
      <w:pPr>
        <w:shd w:val="clear" w:color="auto" w:fill="FFFFFF"/>
        <w:spacing w:after="100" w:afterAutospacing="1" w:line="240" w:lineRule="auto"/>
        <w:ind w:left="1080"/>
        <w:contextualSpacing/>
        <w:outlineLvl w:val="0"/>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 xml:space="preserve">L’erreur humaine </w:t>
      </w:r>
      <w:r w:rsidRPr="00904494">
        <w:rPr>
          <w:rFonts w:ascii="Arial" w:eastAsia="Times New Roman" w:hAnsi="Arial" w:cs="Arial"/>
          <w:bCs/>
          <w:color w:val="111111"/>
          <w:kern w:val="36"/>
          <w:sz w:val="24"/>
          <w:szCs w:val="24"/>
          <w:lang w:eastAsia="fr-FR"/>
        </w:rPr>
        <w:t>(seconde édition) –</w:t>
      </w:r>
      <w:r w:rsidRPr="00904494">
        <w:rPr>
          <w:rFonts w:ascii="Arial" w:eastAsia="Times New Roman" w:hAnsi="Arial" w:cs="Arial"/>
          <w:bCs/>
          <w:i/>
          <w:color w:val="111111"/>
          <w:kern w:val="36"/>
          <w:sz w:val="24"/>
          <w:szCs w:val="24"/>
          <w:lang w:eastAsia="fr-FR"/>
        </w:rPr>
        <w:t xml:space="preserve"> de James </w:t>
      </w:r>
      <w:proofErr w:type="spellStart"/>
      <w:r w:rsidRPr="00904494">
        <w:rPr>
          <w:rFonts w:ascii="Arial" w:eastAsia="Times New Roman" w:hAnsi="Arial" w:cs="Arial"/>
          <w:bCs/>
          <w:i/>
          <w:color w:val="111111"/>
          <w:kern w:val="36"/>
          <w:sz w:val="24"/>
          <w:szCs w:val="24"/>
          <w:lang w:eastAsia="fr-FR"/>
        </w:rPr>
        <w:t>Reason</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Presse des Mines</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 xml:space="preserve">Les facteurs humains dans la gestion des risques – </w:t>
      </w:r>
      <w:r w:rsidRPr="00904494">
        <w:rPr>
          <w:rFonts w:ascii="Arial" w:eastAsia="Times New Roman" w:hAnsi="Arial" w:cs="Arial"/>
          <w:bCs/>
          <w:i/>
          <w:color w:val="111111"/>
          <w:kern w:val="36"/>
          <w:sz w:val="24"/>
          <w:szCs w:val="24"/>
          <w:lang w:eastAsia="fr-FR"/>
        </w:rPr>
        <w:t xml:space="preserve">de Corinne </w:t>
      </w:r>
      <w:proofErr w:type="spellStart"/>
      <w:r w:rsidRPr="00904494">
        <w:rPr>
          <w:rFonts w:ascii="Arial" w:eastAsia="Times New Roman" w:hAnsi="Arial" w:cs="Arial"/>
          <w:bCs/>
          <w:i/>
          <w:color w:val="111111"/>
          <w:kern w:val="36"/>
          <w:sz w:val="24"/>
          <w:szCs w:val="24"/>
          <w:lang w:eastAsia="fr-FR"/>
        </w:rPr>
        <w:t>Bieder</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Lavoisier </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904494">
        <w:rPr>
          <w:rFonts w:ascii="Arial" w:eastAsia="Times New Roman" w:hAnsi="Arial" w:cs="Arial"/>
          <w:bCs/>
          <w:color w:val="111111"/>
          <w:kern w:val="36"/>
          <w:sz w:val="24"/>
          <w:szCs w:val="24"/>
          <w:lang w:eastAsia="fr-FR"/>
        </w:rPr>
        <w:t xml:space="preserve">Performances humaines et ses limites « Facteurs Humains » Physiologie et psychologie Aéronautiques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Jean Mermoz</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904494">
        <w:rPr>
          <w:rFonts w:ascii="Arial" w:eastAsia="Times New Roman" w:hAnsi="Arial" w:cs="Arial"/>
          <w:bCs/>
          <w:color w:val="111111"/>
          <w:kern w:val="36"/>
          <w:sz w:val="24"/>
          <w:szCs w:val="24"/>
          <w:lang w:eastAsia="fr-FR"/>
        </w:rPr>
        <w:t xml:space="preserve">Le facteur humain – </w:t>
      </w:r>
      <w:r w:rsidRPr="00904494">
        <w:rPr>
          <w:rFonts w:ascii="Arial" w:eastAsia="Times New Roman" w:hAnsi="Arial" w:cs="Arial"/>
          <w:bCs/>
          <w:i/>
          <w:color w:val="111111"/>
          <w:kern w:val="36"/>
          <w:sz w:val="24"/>
          <w:szCs w:val="24"/>
          <w:lang w:eastAsia="fr-FR"/>
        </w:rPr>
        <w:t xml:space="preserve">de Christophe </w:t>
      </w:r>
      <w:proofErr w:type="spellStart"/>
      <w:r w:rsidRPr="00904494">
        <w:rPr>
          <w:rFonts w:ascii="Arial" w:eastAsia="Times New Roman" w:hAnsi="Arial" w:cs="Arial"/>
          <w:bCs/>
          <w:i/>
          <w:color w:val="111111"/>
          <w:kern w:val="36"/>
          <w:sz w:val="24"/>
          <w:szCs w:val="24"/>
          <w:lang w:eastAsia="fr-FR"/>
        </w:rPr>
        <w:t>Dejours</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Que sais-je ?</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 xml:space="preserve">L’empire de l’erreur – Eléments de sociologie cognitive </w:t>
      </w:r>
      <w:r w:rsidRPr="00904494">
        <w:rPr>
          <w:rFonts w:ascii="Arial" w:eastAsia="Times New Roman" w:hAnsi="Arial" w:cs="Arial"/>
          <w:bCs/>
          <w:i/>
          <w:color w:val="111111"/>
          <w:kern w:val="36"/>
          <w:sz w:val="24"/>
          <w:szCs w:val="24"/>
          <w:lang w:eastAsia="fr-FR"/>
        </w:rPr>
        <w:t xml:space="preserve">– de Gérald </w:t>
      </w:r>
      <w:proofErr w:type="spellStart"/>
      <w:r w:rsidRPr="00904494">
        <w:rPr>
          <w:rFonts w:ascii="Arial" w:eastAsia="Times New Roman" w:hAnsi="Arial" w:cs="Arial"/>
          <w:bCs/>
          <w:i/>
          <w:color w:val="111111"/>
          <w:kern w:val="36"/>
          <w:sz w:val="24"/>
          <w:szCs w:val="24"/>
          <w:lang w:eastAsia="fr-FR"/>
        </w:rPr>
        <w:t>Bronner</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PUF</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Système 1, Système 2, les deux vitesses de la pensée</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de Daniel </w:t>
      </w:r>
      <w:proofErr w:type="spellStart"/>
      <w:r w:rsidRPr="00904494">
        <w:rPr>
          <w:rFonts w:ascii="Arial" w:eastAsia="Times New Roman" w:hAnsi="Arial" w:cs="Arial"/>
          <w:bCs/>
          <w:i/>
          <w:color w:val="111111"/>
          <w:kern w:val="36"/>
          <w:sz w:val="24"/>
          <w:szCs w:val="24"/>
          <w:lang w:eastAsia="fr-FR"/>
        </w:rPr>
        <w:t>Kahneman</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Clés Champs</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Le raisonnement</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w:t>
      </w:r>
      <w:proofErr w:type="gramStart"/>
      <w:r w:rsidRPr="00904494">
        <w:rPr>
          <w:rFonts w:ascii="Arial" w:eastAsia="Times New Roman" w:hAnsi="Arial" w:cs="Arial"/>
          <w:bCs/>
          <w:i/>
          <w:color w:val="111111"/>
          <w:kern w:val="36"/>
          <w:sz w:val="24"/>
          <w:szCs w:val="24"/>
          <w:lang w:eastAsia="fr-FR"/>
        </w:rPr>
        <w:t>de Olivier</w:t>
      </w:r>
      <w:proofErr w:type="gram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Houdé</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PUF</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 xml:space="preserve">Les décisions absurdes </w:t>
      </w:r>
      <w:r w:rsidRPr="00904494">
        <w:rPr>
          <w:rFonts w:ascii="Arial" w:eastAsia="Times New Roman" w:hAnsi="Arial" w:cs="Arial"/>
          <w:bCs/>
          <w:color w:val="111111"/>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de Christian Morel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Gallimard</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Tout sur la mémoire</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de Bernard </w:t>
      </w:r>
      <w:proofErr w:type="spellStart"/>
      <w:r w:rsidRPr="00904494">
        <w:rPr>
          <w:rFonts w:ascii="Arial" w:eastAsia="Times New Roman" w:hAnsi="Arial" w:cs="Arial"/>
          <w:bCs/>
          <w:i/>
          <w:color w:val="111111"/>
          <w:kern w:val="36"/>
          <w:sz w:val="24"/>
          <w:szCs w:val="24"/>
          <w:lang w:eastAsia="fr-FR"/>
        </w:rPr>
        <w:t>Croisile</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Le cerveau attentif</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de Jean-Philippe </w:t>
      </w:r>
      <w:proofErr w:type="spellStart"/>
      <w:r w:rsidRPr="00904494">
        <w:rPr>
          <w:rFonts w:ascii="Arial" w:eastAsia="Times New Roman" w:hAnsi="Arial" w:cs="Arial"/>
          <w:bCs/>
          <w:i/>
          <w:color w:val="111111"/>
          <w:kern w:val="36"/>
          <w:sz w:val="24"/>
          <w:szCs w:val="24"/>
          <w:lang w:eastAsia="fr-FR"/>
        </w:rPr>
        <w:t>Lachaux</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Le cerveau Funambule</w:t>
      </w:r>
      <w:r w:rsidRPr="00904494">
        <w:rPr>
          <w:rFonts w:ascii="Arial" w:eastAsia="Times New Roman" w:hAnsi="Arial" w:cs="Arial"/>
          <w:bCs/>
          <w:i/>
          <w:color w:val="111111"/>
          <w:kern w:val="36"/>
          <w:sz w:val="24"/>
          <w:szCs w:val="24"/>
          <w:lang w:eastAsia="fr-FR"/>
        </w:rPr>
        <w:t xml:space="preserve"> - de Jean-Philippe </w:t>
      </w:r>
      <w:proofErr w:type="spellStart"/>
      <w:r w:rsidRPr="00904494">
        <w:rPr>
          <w:rFonts w:ascii="Arial" w:eastAsia="Times New Roman" w:hAnsi="Arial" w:cs="Arial"/>
          <w:bCs/>
          <w:i/>
          <w:color w:val="111111"/>
          <w:kern w:val="36"/>
          <w:sz w:val="24"/>
          <w:szCs w:val="24"/>
          <w:lang w:eastAsia="fr-FR"/>
        </w:rPr>
        <w:t>Lachaux</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Stress sans détresse</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e Dr Hans Selye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La Presse</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Les Facteurs Humains de la Fiabilité dans les systèmes complexes</w:t>
      </w:r>
      <w:r w:rsidRPr="00904494">
        <w:rPr>
          <w:rFonts w:ascii="Arial" w:eastAsia="Times New Roman" w:hAnsi="Arial" w:cs="Arial"/>
          <w:bCs/>
          <w:i/>
          <w:color w:val="111111"/>
          <w:kern w:val="36"/>
          <w:sz w:val="24"/>
          <w:szCs w:val="24"/>
          <w:lang w:eastAsia="fr-FR"/>
        </w:rPr>
        <w:t xml:space="preserve"> – de Jacques </w:t>
      </w:r>
      <w:proofErr w:type="spellStart"/>
      <w:r w:rsidRPr="00904494">
        <w:rPr>
          <w:rFonts w:ascii="Arial" w:eastAsia="Times New Roman" w:hAnsi="Arial" w:cs="Arial"/>
          <w:bCs/>
          <w:i/>
          <w:color w:val="111111"/>
          <w:kern w:val="36"/>
          <w:sz w:val="24"/>
          <w:szCs w:val="24"/>
          <w:lang w:eastAsia="fr-FR"/>
        </w:rPr>
        <w:t>Leplat</w:t>
      </w:r>
      <w:proofErr w:type="spellEnd"/>
      <w:r w:rsidRPr="00904494">
        <w:rPr>
          <w:rFonts w:ascii="Arial" w:eastAsia="Times New Roman" w:hAnsi="Arial" w:cs="Arial"/>
          <w:bCs/>
          <w:i/>
          <w:color w:val="111111"/>
          <w:kern w:val="36"/>
          <w:sz w:val="24"/>
          <w:szCs w:val="24"/>
          <w:lang w:eastAsia="fr-FR"/>
        </w:rPr>
        <w:t xml:space="preserve"> &amp; Gilbert de </w:t>
      </w:r>
      <w:proofErr w:type="spellStart"/>
      <w:r w:rsidRPr="00904494">
        <w:rPr>
          <w:rFonts w:ascii="Arial" w:eastAsia="Times New Roman" w:hAnsi="Arial" w:cs="Arial"/>
          <w:bCs/>
          <w:i/>
          <w:color w:val="111111"/>
          <w:kern w:val="36"/>
          <w:sz w:val="24"/>
          <w:szCs w:val="24"/>
          <w:lang w:eastAsia="fr-FR"/>
        </w:rPr>
        <w:t>Terssac</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Octares</w:t>
      </w:r>
      <w:proofErr w:type="spellEnd"/>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L’erreur de Descartes</w:t>
      </w:r>
      <w:r w:rsidRPr="00904494">
        <w:rPr>
          <w:rFonts w:ascii="Arial" w:eastAsia="Times New Roman" w:hAnsi="Arial" w:cs="Arial"/>
          <w:bCs/>
          <w:i/>
          <w:color w:val="111111"/>
          <w:kern w:val="36"/>
          <w:sz w:val="24"/>
          <w:szCs w:val="24"/>
          <w:lang w:eastAsia="fr-FR"/>
        </w:rPr>
        <w:t xml:space="preserve"> – </w:t>
      </w:r>
      <w:bookmarkStart w:id="1" w:name="_Hlk529283429"/>
      <w:proofErr w:type="gramStart"/>
      <w:r w:rsidRPr="00904494">
        <w:rPr>
          <w:rFonts w:ascii="Arial" w:eastAsia="Times New Roman" w:hAnsi="Arial" w:cs="Arial"/>
          <w:bCs/>
          <w:i/>
          <w:color w:val="111111"/>
          <w:kern w:val="36"/>
          <w:sz w:val="24"/>
          <w:szCs w:val="24"/>
          <w:lang w:eastAsia="fr-FR"/>
        </w:rPr>
        <w:t>de Antonio</w:t>
      </w:r>
      <w:proofErr w:type="gram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Damasio</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bookmarkEnd w:id="1"/>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Spinoza avait raison</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w:t>
      </w:r>
      <w:proofErr w:type="gramStart"/>
      <w:r w:rsidRPr="00904494">
        <w:rPr>
          <w:rFonts w:ascii="Arial" w:eastAsia="Times New Roman" w:hAnsi="Arial" w:cs="Arial"/>
          <w:bCs/>
          <w:i/>
          <w:color w:val="111111"/>
          <w:kern w:val="36"/>
          <w:sz w:val="24"/>
          <w:szCs w:val="24"/>
          <w:lang w:eastAsia="fr-FR"/>
        </w:rPr>
        <w:t>de Antonio</w:t>
      </w:r>
      <w:proofErr w:type="gram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Damasio</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FF0000"/>
          <w:kern w:val="36"/>
          <w:sz w:val="24"/>
          <w:szCs w:val="24"/>
          <w:lang w:eastAsia="fr-FR"/>
        </w:rPr>
        <w:t>Le sentiment même de soi</w:t>
      </w:r>
      <w:r w:rsidRPr="00904494">
        <w:rPr>
          <w:rFonts w:ascii="Arial" w:eastAsia="Times New Roman" w:hAnsi="Arial" w:cs="Arial"/>
          <w:bCs/>
          <w:i/>
          <w:color w:val="FF0000"/>
          <w:kern w:val="36"/>
          <w:sz w:val="24"/>
          <w:szCs w:val="24"/>
          <w:lang w:eastAsia="fr-FR"/>
        </w:rPr>
        <w:t xml:space="preserve"> </w:t>
      </w:r>
      <w:r w:rsidRPr="00904494">
        <w:rPr>
          <w:rFonts w:ascii="Arial" w:eastAsia="Times New Roman" w:hAnsi="Arial" w:cs="Arial"/>
          <w:bCs/>
          <w:i/>
          <w:color w:val="111111"/>
          <w:kern w:val="36"/>
          <w:sz w:val="24"/>
          <w:szCs w:val="24"/>
          <w:lang w:eastAsia="fr-FR"/>
        </w:rPr>
        <w:t xml:space="preserve">- </w:t>
      </w:r>
      <w:proofErr w:type="gramStart"/>
      <w:r w:rsidRPr="00904494">
        <w:rPr>
          <w:rFonts w:ascii="Arial" w:eastAsia="Times New Roman" w:hAnsi="Arial" w:cs="Arial"/>
          <w:bCs/>
          <w:i/>
          <w:color w:val="111111"/>
          <w:kern w:val="36"/>
          <w:sz w:val="24"/>
          <w:szCs w:val="24"/>
          <w:lang w:eastAsia="fr-FR"/>
        </w:rPr>
        <w:t>de Antonio</w:t>
      </w:r>
      <w:proofErr w:type="gram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Damasio</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904494">
        <w:rPr>
          <w:rFonts w:ascii="Arial" w:eastAsia="Times New Roman" w:hAnsi="Arial" w:cs="Arial"/>
          <w:bCs/>
          <w:color w:val="111111"/>
          <w:kern w:val="36"/>
          <w:sz w:val="24"/>
          <w:szCs w:val="24"/>
          <w:lang w:eastAsia="fr-FR"/>
        </w:rPr>
        <w:t>L’autre moi-même</w:t>
      </w:r>
      <w:r w:rsidRPr="00904494">
        <w:rPr>
          <w:rFonts w:ascii="Arial" w:eastAsia="Times New Roman" w:hAnsi="Arial" w:cs="Arial"/>
          <w:bCs/>
          <w:i/>
          <w:color w:val="111111"/>
          <w:kern w:val="36"/>
          <w:sz w:val="24"/>
          <w:szCs w:val="24"/>
          <w:lang w:eastAsia="fr-FR"/>
        </w:rPr>
        <w:t xml:space="preserve"> - </w:t>
      </w:r>
      <w:proofErr w:type="gramStart"/>
      <w:r w:rsidRPr="00904494">
        <w:rPr>
          <w:rFonts w:ascii="Arial" w:eastAsia="Times New Roman" w:hAnsi="Arial" w:cs="Arial"/>
          <w:bCs/>
          <w:i/>
          <w:color w:val="111111"/>
          <w:kern w:val="36"/>
          <w:sz w:val="24"/>
          <w:szCs w:val="24"/>
          <w:lang w:eastAsia="fr-FR"/>
        </w:rPr>
        <w:t>de Antonio</w:t>
      </w:r>
      <w:proofErr w:type="gramEnd"/>
      <w:r w:rsidRPr="00904494">
        <w:rPr>
          <w:rFonts w:ascii="Arial" w:eastAsia="Times New Roman" w:hAnsi="Arial" w:cs="Arial"/>
          <w:bCs/>
          <w:i/>
          <w:color w:val="111111"/>
          <w:kern w:val="36"/>
          <w:sz w:val="24"/>
          <w:szCs w:val="24"/>
          <w:lang w:eastAsia="fr-FR"/>
        </w:rPr>
        <w:t xml:space="preserve"> </w:t>
      </w:r>
      <w:proofErr w:type="spellStart"/>
      <w:r w:rsidRPr="00904494">
        <w:rPr>
          <w:rFonts w:ascii="Arial" w:eastAsia="Times New Roman" w:hAnsi="Arial" w:cs="Arial"/>
          <w:bCs/>
          <w:i/>
          <w:color w:val="111111"/>
          <w:kern w:val="36"/>
          <w:sz w:val="24"/>
          <w:szCs w:val="24"/>
          <w:lang w:eastAsia="fr-FR"/>
        </w:rPr>
        <w:t>Damasio</w:t>
      </w:r>
      <w:proofErr w:type="spellEnd"/>
      <w:r w:rsidRPr="00904494">
        <w:rPr>
          <w:rFonts w:ascii="Arial" w:eastAsia="Times New Roman" w:hAnsi="Arial" w:cs="Arial"/>
          <w:bCs/>
          <w:i/>
          <w:color w:val="111111"/>
          <w:kern w:val="36"/>
          <w:sz w:val="24"/>
          <w:szCs w:val="24"/>
          <w:lang w:eastAsia="fr-FR"/>
        </w:rPr>
        <w:t xml:space="preserve"> – </w:t>
      </w:r>
      <w:proofErr w:type="spellStart"/>
      <w:r w:rsidRPr="00904494">
        <w:rPr>
          <w:rFonts w:ascii="Arial" w:eastAsia="Times New Roman" w:hAnsi="Arial" w:cs="Arial"/>
          <w:bCs/>
          <w:i/>
          <w:color w:val="111111"/>
          <w:kern w:val="36"/>
          <w:sz w:val="24"/>
          <w:szCs w:val="24"/>
          <w:lang w:eastAsia="fr-FR"/>
        </w:rPr>
        <w:t>Edt</w:t>
      </w:r>
      <w:proofErr w:type="spellEnd"/>
      <w:r w:rsidRPr="00904494">
        <w:rPr>
          <w:rFonts w:ascii="Arial" w:eastAsia="Times New Roman" w:hAnsi="Arial" w:cs="Arial"/>
          <w:bCs/>
          <w:i/>
          <w:color w:val="111111"/>
          <w:kern w:val="36"/>
          <w:sz w:val="24"/>
          <w:szCs w:val="24"/>
          <w:lang w:eastAsia="fr-FR"/>
        </w:rPr>
        <w:t xml:space="preserve"> Odile Jacob</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Managing the Risks of Organizational Accidents</w:t>
      </w:r>
      <w:r w:rsidRPr="00904494">
        <w:rPr>
          <w:rFonts w:ascii="Arial" w:eastAsia="Times New Roman" w:hAnsi="Arial" w:cs="Arial"/>
          <w:bCs/>
          <w:i/>
          <w:color w:val="111111"/>
          <w:kern w:val="36"/>
          <w:sz w:val="24"/>
          <w:szCs w:val="24"/>
          <w:lang w:val="en-GB" w:eastAsia="fr-FR"/>
        </w:rPr>
        <w:t xml:space="preserve"> – James Reason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FF0000"/>
          <w:kern w:val="36"/>
          <w:sz w:val="24"/>
          <w:szCs w:val="24"/>
          <w:lang w:val="en-GB" w:eastAsia="fr-FR"/>
        </w:rPr>
        <w:t>The human Contribution, unsafe acts, accidents and heroic recoveries</w:t>
      </w:r>
      <w:r w:rsidRPr="00904494">
        <w:rPr>
          <w:rFonts w:ascii="Arial" w:eastAsia="Times New Roman" w:hAnsi="Arial" w:cs="Arial"/>
          <w:bCs/>
          <w:i/>
          <w:color w:val="FF0000"/>
          <w:kern w:val="36"/>
          <w:sz w:val="24"/>
          <w:szCs w:val="24"/>
          <w:lang w:val="en-GB" w:eastAsia="fr-FR"/>
        </w:rPr>
        <w:t xml:space="preserve"> </w:t>
      </w:r>
      <w:r w:rsidRPr="00904494">
        <w:rPr>
          <w:rFonts w:ascii="Arial" w:eastAsia="Times New Roman" w:hAnsi="Arial" w:cs="Arial"/>
          <w:bCs/>
          <w:i/>
          <w:color w:val="111111"/>
          <w:kern w:val="36"/>
          <w:sz w:val="24"/>
          <w:szCs w:val="24"/>
          <w:lang w:val="en-GB" w:eastAsia="fr-FR"/>
        </w:rPr>
        <w:t xml:space="preserve">– de James Reason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FF0000"/>
          <w:kern w:val="36"/>
          <w:sz w:val="24"/>
          <w:szCs w:val="24"/>
          <w:lang w:val="en-GB" w:eastAsia="fr-FR"/>
        </w:rPr>
        <w:t>Safer Healthcare, strategies for the real world</w:t>
      </w:r>
      <w:r w:rsidRPr="00904494">
        <w:rPr>
          <w:rFonts w:ascii="Arial" w:eastAsia="Times New Roman" w:hAnsi="Arial" w:cs="Arial"/>
          <w:bCs/>
          <w:i/>
          <w:color w:val="FF0000"/>
          <w:kern w:val="36"/>
          <w:sz w:val="24"/>
          <w:szCs w:val="24"/>
          <w:lang w:val="en-GB" w:eastAsia="fr-FR"/>
        </w:rPr>
        <w:t xml:space="preserve"> </w:t>
      </w:r>
      <w:r w:rsidRPr="00904494">
        <w:rPr>
          <w:rFonts w:ascii="Arial" w:eastAsia="Times New Roman" w:hAnsi="Arial" w:cs="Arial"/>
          <w:bCs/>
          <w:i/>
          <w:color w:val="111111"/>
          <w:kern w:val="36"/>
          <w:sz w:val="24"/>
          <w:szCs w:val="24"/>
          <w:lang w:val="en-GB" w:eastAsia="fr-FR"/>
        </w:rPr>
        <w:t xml:space="preserve">– de René </w:t>
      </w:r>
      <w:proofErr w:type="spellStart"/>
      <w:r w:rsidRPr="00904494">
        <w:rPr>
          <w:rFonts w:ascii="Arial" w:eastAsia="Times New Roman" w:hAnsi="Arial" w:cs="Arial"/>
          <w:bCs/>
          <w:i/>
          <w:color w:val="111111"/>
          <w:kern w:val="36"/>
          <w:sz w:val="24"/>
          <w:szCs w:val="24"/>
          <w:lang w:val="en-GB" w:eastAsia="fr-FR"/>
        </w:rPr>
        <w:t>Amalberti</w:t>
      </w:r>
      <w:proofErr w:type="spellEnd"/>
      <w:r w:rsidRPr="00904494">
        <w:rPr>
          <w:rFonts w:ascii="Arial" w:eastAsia="Times New Roman" w:hAnsi="Arial" w:cs="Arial"/>
          <w:bCs/>
          <w:i/>
          <w:color w:val="111111"/>
          <w:kern w:val="36"/>
          <w:sz w:val="24"/>
          <w:szCs w:val="24"/>
          <w:lang w:val="en-GB" w:eastAsia="fr-FR"/>
        </w:rPr>
        <w:t xml:space="preserve"> &amp; Charles Vincent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Springer Open</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Human Factors and Behavioural Safety – </w:t>
      </w:r>
      <w:r w:rsidRPr="00904494">
        <w:rPr>
          <w:rFonts w:ascii="Arial" w:eastAsia="Times New Roman" w:hAnsi="Arial" w:cs="Arial"/>
          <w:bCs/>
          <w:i/>
          <w:color w:val="111111"/>
          <w:kern w:val="36"/>
          <w:sz w:val="24"/>
          <w:szCs w:val="24"/>
          <w:lang w:val="en-GB" w:eastAsia="fr-FR"/>
        </w:rPr>
        <w:t xml:space="preserve">de </w:t>
      </w:r>
      <w:proofErr w:type="spellStart"/>
      <w:r w:rsidRPr="00904494">
        <w:rPr>
          <w:rFonts w:ascii="Arial" w:eastAsia="Times New Roman" w:hAnsi="Arial" w:cs="Arial"/>
          <w:bCs/>
          <w:i/>
          <w:color w:val="111111"/>
          <w:kern w:val="36"/>
          <w:sz w:val="24"/>
          <w:szCs w:val="24"/>
          <w:lang w:val="en-GB" w:eastAsia="fr-FR"/>
        </w:rPr>
        <w:t>Sranks</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Routledge</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Handbook of Aviation Human Factors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Daniel J. Garland, John A. Wise &amp; V. David Hopkin </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Human Factors un Multi-Crew Flight Operations</w:t>
      </w:r>
      <w:r w:rsidRPr="00904494">
        <w:rPr>
          <w:rFonts w:ascii="Arial" w:eastAsia="Times New Roman" w:hAnsi="Arial" w:cs="Arial"/>
          <w:bCs/>
          <w:i/>
          <w:color w:val="111111"/>
          <w:kern w:val="36"/>
          <w:sz w:val="24"/>
          <w:szCs w:val="24"/>
          <w:lang w:val="en-GB" w:eastAsia="fr-FR"/>
        </w:rPr>
        <w:t xml:space="preserve"> – de Harry W. </w:t>
      </w:r>
      <w:proofErr w:type="spellStart"/>
      <w:r w:rsidRPr="00904494">
        <w:rPr>
          <w:rFonts w:ascii="Arial" w:eastAsia="Times New Roman" w:hAnsi="Arial" w:cs="Arial"/>
          <w:bCs/>
          <w:i/>
          <w:color w:val="111111"/>
          <w:kern w:val="36"/>
          <w:sz w:val="24"/>
          <w:szCs w:val="24"/>
          <w:lang w:val="en-GB" w:eastAsia="fr-FR"/>
        </w:rPr>
        <w:t>Orlady</w:t>
      </w:r>
      <w:proofErr w:type="spellEnd"/>
      <w:r w:rsidRPr="00904494">
        <w:rPr>
          <w:rFonts w:ascii="Arial" w:eastAsia="Times New Roman" w:hAnsi="Arial" w:cs="Arial"/>
          <w:bCs/>
          <w:i/>
          <w:color w:val="111111"/>
          <w:kern w:val="36"/>
          <w:sz w:val="24"/>
          <w:szCs w:val="24"/>
          <w:lang w:val="en-GB" w:eastAsia="fr-FR"/>
        </w:rPr>
        <w:t xml:space="preserve"> &amp; Linda M. </w:t>
      </w:r>
      <w:proofErr w:type="spellStart"/>
      <w:r w:rsidRPr="00904494">
        <w:rPr>
          <w:rFonts w:ascii="Arial" w:eastAsia="Times New Roman" w:hAnsi="Arial" w:cs="Arial"/>
          <w:bCs/>
          <w:i/>
          <w:color w:val="111111"/>
          <w:kern w:val="36"/>
          <w:sz w:val="24"/>
          <w:szCs w:val="24"/>
          <w:lang w:val="en-GB" w:eastAsia="fr-FR"/>
        </w:rPr>
        <w:t>Orlady</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r w:rsidRPr="00904494">
        <w:rPr>
          <w:rFonts w:ascii="Arial" w:eastAsia="Times New Roman" w:hAnsi="Arial" w:cs="Arial"/>
          <w:bCs/>
          <w:i/>
          <w:color w:val="111111"/>
          <w:kern w:val="36"/>
          <w:sz w:val="24"/>
          <w:szCs w:val="24"/>
          <w:lang w:val="en-GB" w:eastAsia="fr-FR"/>
        </w:rPr>
        <w:t xml:space="preserve">  </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FF0000"/>
          <w:kern w:val="36"/>
          <w:sz w:val="24"/>
          <w:szCs w:val="24"/>
          <w:lang w:val="en-GB" w:eastAsia="fr-FR"/>
        </w:rPr>
        <w:t>Behind Human error</w:t>
      </w:r>
      <w:r w:rsidRPr="00904494">
        <w:rPr>
          <w:rFonts w:ascii="Arial" w:eastAsia="Times New Roman" w:hAnsi="Arial" w:cs="Arial"/>
          <w:bCs/>
          <w:i/>
          <w:color w:val="FF0000"/>
          <w:kern w:val="36"/>
          <w:sz w:val="24"/>
          <w:szCs w:val="24"/>
          <w:lang w:val="en-GB" w:eastAsia="fr-FR"/>
        </w:rPr>
        <w:t xml:space="preserve"> </w:t>
      </w:r>
      <w:r w:rsidRPr="00904494">
        <w:rPr>
          <w:rFonts w:ascii="Arial" w:eastAsia="Times New Roman" w:hAnsi="Arial" w:cs="Arial"/>
          <w:bCs/>
          <w:i/>
          <w:color w:val="111111"/>
          <w:kern w:val="36"/>
          <w:sz w:val="24"/>
          <w:szCs w:val="24"/>
          <w:lang w:val="en-GB" w:eastAsia="fr-FR"/>
        </w:rPr>
        <w:t xml:space="preserve">- de David D. Woods, Sidney Dekker, Richard Cook, Leila </w:t>
      </w:r>
      <w:proofErr w:type="spellStart"/>
      <w:r w:rsidRPr="00904494">
        <w:rPr>
          <w:rFonts w:ascii="Arial" w:eastAsia="Times New Roman" w:hAnsi="Arial" w:cs="Arial"/>
          <w:bCs/>
          <w:i/>
          <w:color w:val="111111"/>
          <w:kern w:val="36"/>
          <w:sz w:val="24"/>
          <w:szCs w:val="24"/>
          <w:lang w:val="en-GB" w:eastAsia="fr-FR"/>
        </w:rPr>
        <w:t>Johannesen</w:t>
      </w:r>
      <w:proofErr w:type="spellEnd"/>
      <w:r w:rsidRPr="00904494">
        <w:rPr>
          <w:rFonts w:ascii="Arial" w:eastAsia="Times New Roman" w:hAnsi="Arial" w:cs="Arial"/>
          <w:bCs/>
          <w:i/>
          <w:color w:val="111111"/>
          <w:kern w:val="36"/>
          <w:sz w:val="24"/>
          <w:szCs w:val="24"/>
          <w:lang w:val="en-GB" w:eastAsia="fr-FR"/>
        </w:rPr>
        <w:t xml:space="preserve"> &amp; Nadine </w:t>
      </w:r>
      <w:proofErr w:type="spellStart"/>
      <w:r w:rsidRPr="00904494">
        <w:rPr>
          <w:rFonts w:ascii="Arial" w:eastAsia="Times New Roman" w:hAnsi="Arial" w:cs="Arial"/>
          <w:bCs/>
          <w:i/>
          <w:color w:val="111111"/>
          <w:kern w:val="36"/>
          <w:sz w:val="24"/>
          <w:szCs w:val="24"/>
          <w:lang w:val="en-GB" w:eastAsia="fr-FR"/>
        </w:rPr>
        <w:t>Sarter</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The Field Guide to understanding Human Error </w:t>
      </w:r>
      <w:r w:rsidRPr="00904494">
        <w:rPr>
          <w:rFonts w:ascii="Arial" w:eastAsia="Times New Roman" w:hAnsi="Arial" w:cs="Arial"/>
          <w:bCs/>
          <w:i/>
          <w:color w:val="111111"/>
          <w:kern w:val="36"/>
          <w:sz w:val="24"/>
          <w:szCs w:val="24"/>
          <w:lang w:val="en-GB" w:eastAsia="fr-FR"/>
        </w:rPr>
        <w:t xml:space="preserve">– de Sidney Dekker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Safety Differently, Human Factors for a New Era</w:t>
      </w:r>
      <w:r w:rsidRPr="00904494">
        <w:rPr>
          <w:rFonts w:ascii="Arial" w:eastAsia="Times New Roman" w:hAnsi="Arial" w:cs="Arial"/>
          <w:bCs/>
          <w:i/>
          <w:color w:val="111111"/>
          <w:kern w:val="36"/>
          <w:sz w:val="24"/>
          <w:szCs w:val="24"/>
          <w:lang w:val="en-GB" w:eastAsia="fr-FR"/>
        </w:rPr>
        <w:t xml:space="preserve"> – de Sidney Dekker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CRC Press</w:t>
      </w:r>
    </w:p>
    <w:p w:rsidR="00904494" w:rsidRPr="00904494" w:rsidRDefault="00904494" w:rsidP="00904494">
      <w:pPr>
        <w:spacing w:after="0" w:line="240" w:lineRule="auto"/>
        <w:ind w:left="720"/>
        <w:contextualSpacing/>
        <w:rPr>
          <w:rFonts w:ascii="Arial" w:eastAsia="Times New Roman" w:hAnsi="Arial" w:cs="Arial"/>
          <w:bCs/>
          <w:i/>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Group Dynamics for High – Risk Teams </w:t>
      </w:r>
      <w:r w:rsidRPr="00904494">
        <w:rPr>
          <w:rFonts w:ascii="Arial" w:eastAsia="Times New Roman" w:hAnsi="Arial" w:cs="Arial"/>
          <w:bCs/>
          <w:i/>
          <w:color w:val="111111"/>
          <w:kern w:val="36"/>
          <w:sz w:val="24"/>
          <w:szCs w:val="24"/>
          <w:lang w:val="en-GB" w:eastAsia="fr-FR"/>
        </w:rPr>
        <w:t xml:space="preserve">– de Amy L. </w:t>
      </w:r>
      <w:proofErr w:type="spellStart"/>
      <w:r w:rsidRPr="00904494">
        <w:rPr>
          <w:rFonts w:ascii="Arial" w:eastAsia="Times New Roman" w:hAnsi="Arial" w:cs="Arial"/>
          <w:bCs/>
          <w:i/>
          <w:color w:val="111111"/>
          <w:kern w:val="36"/>
          <w:sz w:val="24"/>
          <w:szCs w:val="24"/>
          <w:lang w:val="en-GB" w:eastAsia="fr-FR"/>
        </w:rPr>
        <w:t>Fraher</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iUniverse</w:t>
      </w:r>
      <w:proofErr w:type="spellEnd"/>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FF0000"/>
          <w:kern w:val="36"/>
          <w:sz w:val="24"/>
          <w:szCs w:val="24"/>
          <w:lang w:val="en-GB" w:eastAsia="fr-FR"/>
        </w:rPr>
        <w:t xml:space="preserve">Beyond the Checklist, What Else Health Care Can Learn from Aviation Teamwork and Safety </w:t>
      </w:r>
      <w:r w:rsidRPr="00904494">
        <w:rPr>
          <w:rFonts w:ascii="Arial" w:eastAsia="Times New Roman" w:hAnsi="Arial" w:cs="Arial"/>
          <w:bCs/>
          <w:color w:val="111111"/>
          <w:kern w:val="36"/>
          <w:sz w:val="24"/>
          <w:szCs w:val="24"/>
          <w:u w:val="single"/>
          <w:lang w:val="en-GB" w:eastAsia="fr-FR"/>
        </w:rPr>
        <w:t xml:space="preserve">– de Suzanne Gordon, Patrick Mendenhall &amp; Bonnie Blair O’Connor – </w:t>
      </w:r>
      <w:proofErr w:type="spellStart"/>
      <w:r w:rsidRPr="00904494">
        <w:rPr>
          <w:rFonts w:ascii="Arial" w:eastAsia="Times New Roman" w:hAnsi="Arial" w:cs="Arial"/>
          <w:bCs/>
          <w:color w:val="111111"/>
          <w:kern w:val="36"/>
          <w:sz w:val="24"/>
          <w:szCs w:val="24"/>
          <w:u w:val="single"/>
          <w:lang w:val="en-GB" w:eastAsia="fr-FR"/>
        </w:rPr>
        <w:t>Edt</w:t>
      </w:r>
      <w:proofErr w:type="spellEnd"/>
      <w:r w:rsidRPr="00904494">
        <w:rPr>
          <w:rFonts w:ascii="Arial" w:eastAsia="Times New Roman" w:hAnsi="Arial" w:cs="Arial"/>
          <w:bCs/>
          <w:color w:val="111111"/>
          <w:kern w:val="36"/>
          <w:sz w:val="24"/>
          <w:szCs w:val="24"/>
          <w:u w:val="single"/>
          <w:lang w:val="en-GB" w:eastAsia="fr-FR"/>
        </w:rPr>
        <w:t xml:space="preserve"> Cornell University Press</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Barriers and Accident Prevention </w:t>
      </w:r>
      <w:r w:rsidRPr="00904494">
        <w:rPr>
          <w:rFonts w:ascii="Arial" w:eastAsia="Times New Roman" w:hAnsi="Arial" w:cs="Arial"/>
          <w:bCs/>
          <w:i/>
          <w:color w:val="111111"/>
          <w:kern w:val="36"/>
          <w:sz w:val="24"/>
          <w:szCs w:val="24"/>
          <w:lang w:val="en-GB" w:eastAsia="fr-FR"/>
        </w:rPr>
        <w:t xml:space="preserve">– de Erik </w:t>
      </w:r>
      <w:proofErr w:type="spellStart"/>
      <w:r w:rsidRPr="00904494">
        <w:rPr>
          <w:rFonts w:ascii="Arial" w:eastAsia="Times New Roman" w:hAnsi="Arial" w:cs="Arial"/>
          <w:bCs/>
          <w:i/>
          <w:color w:val="111111"/>
          <w:kern w:val="36"/>
          <w:sz w:val="24"/>
          <w:szCs w:val="24"/>
          <w:lang w:val="en-GB" w:eastAsia="fr-FR"/>
        </w:rPr>
        <w:t>Hollnagel</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Ashgate</w:t>
      </w:r>
      <w:proofErr w:type="spellEnd"/>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The Overflowing Brain, information overload and the limits of Working Memory </w:t>
      </w:r>
      <w:r w:rsidRPr="00904494">
        <w:rPr>
          <w:rFonts w:ascii="Arial" w:eastAsia="Times New Roman" w:hAnsi="Arial" w:cs="Arial"/>
          <w:bCs/>
          <w:i/>
          <w:color w:val="111111"/>
          <w:kern w:val="36"/>
          <w:sz w:val="24"/>
          <w:szCs w:val="24"/>
          <w:lang w:val="en-GB" w:eastAsia="fr-FR"/>
        </w:rPr>
        <w:t xml:space="preserve">– de </w:t>
      </w:r>
      <w:proofErr w:type="spellStart"/>
      <w:r w:rsidRPr="00904494">
        <w:rPr>
          <w:rFonts w:ascii="Arial" w:eastAsia="Times New Roman" w:hAnsi="Arial" w:cs="Arial"/>
          <w:bCs/>
          <w:i/>
          <w:color w:val="111111"/>
          <w:kern w:val="36"/>
          <w:sz w:val="24"/>
          <w:szCs w:val="24"/>
          <w:lang w:val="en-GB" w:eastAsia="fr-FR"/>
        </w:rPr>
        <w:t>Torkel</w:t>
      </w:r>
      <w:proofErr w:type="spellEnd"/>
      <w:r w:rsidRPr="00904494">
        <w:rPr>
          <w:rFonts w:ascii="Arial" w:eastAsia="Times New Roman" w:hAnsi="Arial" w:cs="Arial"/>
          <w:bCs/>
          <w:i/>
          <w:color w:val="111111"/>
          <w:kern w:val="36"/>
          <w:sz w:val="24"/>
          <w:szCs w:val="24"/>
          <w:lang w:val="en-GB" w:eastAsia="fr-FR"/>
        </w:rPr>
        <w:t xml:space="preserve"> </w:t>
      </w:r>
      <w:proofErr w:type="spellStart"/>
      <w:r w:rsidRPr="00904494">
        <w:rPr>
          <w:rFonts w:ascii="Arial" w:eastAsia="Times New Roman" w:hAnsi="Arial" w:cs="Arial"/>
          <w:bCs/>
          <w:i/>
          <w:color w:val="111111"/>
          <w:kern w:val="36"/>
          <w:sz w:val="24"/>
          <w:szCs w:val="24"/>
          <w:lang w:val="en-GB" w:eastAsia="fr-FR"/>
        </w:rPr>
        <w:t>Klingberg</w:t>
      </w:r>
      <w:proofErr w:type="spellEnd"/>
      <w:r w:rsidRPr="00904494">
        <w:rPr>
          <w:rFonts w:ascii="Arial" w:eastAsia="Times New Roman" w:hAnsi="Arial" w:cs="Arial"/>
          <w:bCs/>
          <w:i/>
          <w:color w:val="111111"/>
          <w:kern w:val="36"/>
          <w:sz w:val="24"/>
          <w:szCs w:val="24"/>
          <w:lang w:val="en-GB" w:eastAsia="fr-FR"/>
        </w:rPr>
        <w:t xml:space="preserve">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Oxford University Press</w:t>
      </w:r>
    </w:p>
    <w:p w:rsidR="00904494" w:rsidRPr="00904494" w:rsidRDefault="00904494" w:rsidP="00904494">
      <w:pPr>
        <w:spacing w:after="0" w:line="240" w:lineRule="auto"/>
        <w:ind w:left="720"/>
        <w:contextualSpacing/>
        <w:rPr>
          <w:rFonts w:ascii="Arial" w:eastAsia="Times New Roman" w:hAnsi="Arial" w:cs="Arial"/>
          <w:bCs/>
          <w:color w:val="111111"/>
          <w:kern w:val="36"/>
          <w:sz w:val="24"/>
          <w:szCs w:val="24"/>
          <w:lang w:val="en-GB" w:eastAsia="fr-FR"/>
        </w:rPr>
      </w:pPr>
    </w:p>
    <w:p w:rsidR="00904494" w:rsidRPr="00904494" w:rsidRDefault="00904494" w:rsidP="00904494">
      <w:pPr>
        <w:numPr>
          <w:ilvl w:val="2"/>
          <w:numId w:val="17"/>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904494">
        <w:rPr>
          <w:rFonts w:ascii="Arial" w:eastAsia="Times New Roman" w:hAnsi="Arial" w:cs="Arial"/>
          <w:bCs/>
          <w:color w:val="111111"/>
          <w:kern w:val="36"/>
          <w:sz w:val="24"/>
          <w:szCs w:val="24"/>
          <w:lang w:val="en-GB" w:eastAsia="fr-FR"/>
        </w:rPr>
        <w:t xml:space="preserve">How we decide </w:t>
      </w:r>
      <w:r w:rsidRPr="00904494">
        <w:rPr>
          <w:rFonts w:ascii="Arial" w:eastAsia="Times New Roman" w:hAnsi="Arial" w:cs="Arial"/>
          <w:bCs/>
          <w:i/>
          <w:color w:val="111111"/>
          <w:kern w:val="36"/>
          <w:sz w:val="24"/>
          <w:szCs w:val="24"/>
          <w:lang w:val="en-GB" w:eastAsia="fr-FR"/>
        </w:rPr>
        <w:t xml:space="preserve">– de Johan Lehrer – </w:t>
      </w:r>
      <w:proofErr w:type="spellStart"/>
      <w:r w:rsidRPr="00904494">
        <w:rPr>
          <w:rFonts w:ascii="Arial" w:eastAsia="Times New Roman" w:hAnsi="Arial" w:cs="Arial"/>
          <w:bCs/>
          <w:i/>
          <w:color w:val="111111"/>
          <w:kern w:val="36"/>
          <w:sz w:val="24"/>
          <w:szCs w:val="24"/>
          <w:lang w:val="en-GB" w:eastAsia="fr-FR"/>
        </w:rPr>
        <w:t>Edt</w:t>
      </w:r>
      <w:proofErr w:type="spellEnd"/>
      <w:r w:rsidRPr="00904494">
        <w:rPr>
          <w:rFonts w:ascii="Arial" w:eastAsia="Times New Roman" w:hAnsi="Arial" w:cs="Arial"/>
          <w:bCs/>
          <w:i/>
          <w:color w:val="111111"/>
          <w:kern w:val="36"/>
          <w:sz w:val="24"/>
          <w:szCs w:val="24"/>
          <w:lang w:val="en-GB" w:eastAsia="fr-FR"/>
        </w:rPr>
        <w:t xml:space="preserve"> Houghton Mifflin Harcourt</w:t>
      </w:r>
    </w:p>
    <w:p w:rsidR="005454E4" w:rsidRPr="00904494" w:rsidRDefault="005454E4" w:rsidP="005454E4">
      <w:pPr>
        <w:autoSpaceDE w:val="0"/>
        <w:autoSpaceDN w:val="0"/>
        <w:adjustRightInd w:val="0"/>
        <w:spacing w:after="0" w:line="240" w:lineRule="auto"/>
        <w:rPr>
          <w:rFonts w:ascii="Arial" w:eastAsia="Times New Roman" w:hAnsi="Arial" w:cs="Arial"/>
          <w:lang w:val="en-GB" w:eastAsia="fr-FR"/>
        </w:rPr>
      </w:pPr>
    </w:p>
    <w:p w:rsidR="005454E4" w:rsidRPr="00904494" w:rsidRDefault="005454E4" w:rsidP="003463ED">
      <w:pPr>
        <w:spacing w:after="0" w:line="240" w:lineRule="auto"/>
        <w:rPr>
          <w:rFonts w:ascii="Arial" w:eastAsia="Times New Roman" w:hAnsi="Arial" w:cs="Arial"/>
          <w:color w:val="002060"/>
          <w:sz w:val="24"/>
          <w:szCs w:val="24"/>
          <w:lang w:val="en-GB" w:eastAsia="fr-FR"/>
        </w:rPr>
      </w:pPr>
    </w:p>
    <w:sectPr w:rsidR="005454E4" w:rsidRPr="009044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25" w:rsidRDefault="00105325" w:rsidP="00206E78">
      <w:pPr>
        <w:spacing w:after="0" w:line="240" w:lineRule="auto"/>
      </w:pPr>
      <w:r>
        <w:separator/>
      </w:r>
    </w:p>
  </w:endnote>
  <w:endnote w:type="continuationSeparator" w:id="0">
    <w:p w:rsidR="00105325" w:rsidRDefault="00105325"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066"/>
      <w:docPartObj>
        <w:docPartGallery w:val="Page Numbers (Bottom of Page)"/>
        <w:docPartUnique/>
      </w:docPartObj>
    </w:sdtPr>
    <w:sdtEndPr/>
    <w:sdtContent>
      <w:p w:rsidR="00BD4D57" w:rsidRDefault="00BD4D57">
        <w:pPr>
          <w:pStyle w:val="Pieddepage"/>
          <w:jc w:val="right"/>
        </w:pPr>
        <w:r>
          <w:fldChar w:fldCharType="begin"/>
        </w:r>
        <w:r>
          <w:instrText>PAGE   \* MERGEFORMAT</w:instrText>
        </w:r>
        <w:r>
          <w:fldChar w:fldCharType="separate"/>
        </w:r>
        <w:r w:rsidR="0000546B">
          <w:rPr>
            <w:noProof/>
          </w:rPr>
          <w:t>3</w:t>
        </w:r>
        <w:r>
          <w:fldChar w:fldCharType="end"/>
        </w:r>
      </w:p>
    </w:sdtContent>
  </w:sdt>
  <w:p w:rsidR="00BD4D57" w:rsidRDefault="00B05ED2" w:rsidP="00DD4E78">
    <w:pPr>
      <w:spacing w:after="0"/>
      <w:rPr>
        <w:rFonts w:ascii="Arial" w:eastAsia="Times New Roman" w:hAnsi="Arial" w:cs="Arial"/>
        <w:color w:val="A6A6A6" w:themeColor="background1" w:themeShade="A6"/>
        <w:sz w:val="16"/>
        <w:szCs w:val="16"/>
        <w:lang w:eastAsia="fr-FR"/>
      </w:rPr>
    </w:pPr>
    <w:r>
      <w:t>V-01 05</w:t>
    </w:r>
    <w:r w:rsidR="002F27A7">
      <w:t>/01/2019</w:t>
    </w:r>
    <w:r w:rsidR="00BD4D57">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t xml:space="preserve"> N° SIRET: 498 906 106 00022   Code APE : 7022 Z</w:t>
    </w:r>
    <w:r w:rsidR="00BD4D57">
      <w:rPr>
        <w:rFonts w:ascii="Arial" w:eastAsia="Times New Roman" w:hAnsi="Arial" w:cs="Arial"/>
        <w:color w:val="A6A6A6" w:themeColor="background1" w:themeShade="A6"/>
        <w:sz w:val="16"/>
        <w:szCs w:val="16"/>
        <w:lang w:eastAsia="fr-FR"/>
      </w:rPr>
      <w:t xml:space="preserve"> –</w:t>
    </w:r>
  </w:p>
  <w:p w:rsidR="00BD4D57" w:rsidRDefault="00BD4D57" w:rsidP="00DD4E78">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BD4D57" w:rsidRDefault="00BD4D57" w:rsidP="00577B0B">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sidR="00577B0B">
      <w:rPr>
        <w:rFonts w:ascii="Arial" w:eastAsia="Times New Roman" w:hAnsi="Arial" w:cs="Arial"/>
        <w:bCs/>
        <w:color w:val="A6A6A6" w:themeColor="background1" w:themeShade="A6"/>
        <w:sz w:val="16"/>
        <w:szCs w:val="16"/>
        <w:lang w:eastAsia="fr-FR"/>
      </w:rPr>
      <w:t>C/0 Patricia Fontaine 33 rue du Plessis 77340 Pontault-Combault</w:t>
    </w:r>
  </w:p>
  <w:p w:rsidR="00BD4D57" w:rsidRDefault="00BD4D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25" w:rsidRDefault="00105325" w:rsidP="00206E78">
      <w:pPr>
        <w:spacing w:after="0" w:line="240" w:lineRule="auto"/>
      </w:pPr>
      <w:r>
        <w:separator/>
      </w:r>
    </w:p>
  </w:footnote>
  <w:footnote w:type="continuationSeparator" w:id="0">
    <w:p w:rsidR="00105325" w:rsidRDefault="00105325"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F3" w:rsidRDefault="00CB55F3">
    <w:pPr>
      <w:pStyle w:val="En-tte"/>
    </w:pPr>
  </w:p>
  <w:p w:rsidR="00BD4D57" w:rsidRDefault="00BD4D57">
    <w:pPr>
      <w:pStyle w:val="En-tte"/>
    </w:pPr>
    <w:r>
      <w:tab/>
    </w:r>
    <w:r>
      <w:tab/>
    </w:r>
    <w:r>
      <w:rPr>
        <w:noProof/>
        <w:lang w:eastAsia="fr-FR"/>
      </w:rPr>
      <w:drawing>
        <wp:inline distT="0" distB="0" distL="0" distR="0" wp14:anchorId="6F51C6B7" wp14:editId="2F413E36">
          <wp:extent cx="1885950" cy="428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AB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F073C07"/>
    <w:multiLevelType w:val="hybridMultilevel"/>
    <w:tmpl w:val="B0CC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2D5D97"/>
    <w:multiLevelType w:val="hybridMultilevel"/>
    <w:tmpl w:val="4C1E9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C309DE"/>
    <w:multiLevelType w:val="hybridMultilevel"/>
    <w:tmpl w:val="74CAC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481B3D"/>
    <w:multiLevelType w:val="hybridMultilevel"/>
    <w:tmpl w:val="353CCF6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F50433"/>
    <w:multiLevelType w:val="hybridMultilevel"/>
    <w:tmpl w:val="A4DAD382"/>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5">
    <w:nsid w:val="78D55C5C"/>
    <w:multiLevelType w:val="multilevel"/>
    <w:tmpl w:val="DE9246CE"/>
    <w:lvl w:ilvl="0">
      <w:start w:val="1"/>
      <w:numFmt w:val="bullet"/>
      <w:lvlText w:val=""/>
      <w:lvlJc w:val="left"/>
      <w:pPr>
        <w:tabs>
          <w:tab w:val="num" w:pos="1353"/>
        </w:tabs>
        <w:ind w:left="1353"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3"/>
  </w:num>
  <w:num w:numId="4">
    <w:abstractNumId w:val="16"/>
  </w:num>
  <w:num w:numId="5">
    <w:abstractNumId w:val="6"/>
  </w:num>
  <w:num w:numId="6">
    <w:abstractNumId w:val="4"/>
  </w:num>
  <w:num w:numId="7">
    <w:abstractNumId w:val="8"/>
  </w:num>
  <w:num w:numId="8">
    <w:abstractNumId w:val="3"/>
  </w:num>
  <w:num w:numId="9">
    <w:abstractNumId w:val="10"/>
  </w:num>
  <w:num w:numId="10">
    <w:abstractNumId w:val="9"/>
  </w:num>
  <w:num w:numId="11">
    <w:abstractNumId w:val="14"/>
  </w:num>
  <w:num w:numId="12">
    <w:abstractNumId w:val="1"/>
  </w:num>
  <w:num w:numId="13">
    <w:abstractNumId w:val="11"/>
  </w:num>
  <w:num w:numId="14">
    <w:abstractNumId w:val="2"/>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363"/>
    <w:rsid w:val="00000E2F"/>
    <w:rsid w:val="00001CC4"/>
    <w:rsid w:val="0000546B"/>
    <w:rsid w:val="00014420"/>
    <w:rsid w:val="00017A3B"/>
    <w:rsid w:val="00027A42"/>
    <w:rsid w:val="00041D81"/>
    <w:rsid w:val="00053680"/>
    <w:rsid w:val="00062398"/>
    <w:rsid w:val="00062669"/>
    <w:rsid w:val="000737DD"/>
    <w:rsid w:val="00090188"/>
    <w:rsid w:val="000B39EA"/>
    <w:rsid w:val="00105325"/>
    <w:rsid w:val="00125059"/>
    <w:rsid w:val="00133B9E"/>
    <w:rsid w:val="0015348A"/>
    <w:rsid w:val="001656A0"/>
    <w:rsid w:val="001754A7"/>
    <w:rsid w:val="001B641A"/>
    <w:rsid w:val="001E5282"/>
    <w:rsid w:val="002009A8"/>
    <w:rsid w:val="00206E78"/>
    <w:rsid w:val="00213DF2"/>
    <w:rsid w:val="002403A4"/>
    <w:rsid w:val="00272515"/>
    <w:rsid w:val="00280E86"/>
    <w:rsid w:val="00292C1D"/>
    <w:rsid w:val="002A2763"/>
    <w:rsid w:val="002F27A7"/>
    <w:rsid w:val="00307A62"/>
    <w:rsid w:val="00314DE9"/>
    <w:rsid w:val="0031793F"/>
    <w:rsid w:val="00324717"/>
    <w:rsid w:val="00336520"/>
    <w:rsid w:val="003463ED"/>
    <w:rsid w:val="00346F63"/>
    <w:rsid w:val="003C1488"/>
    <w:rsid w:val="0040337B"/>
    <w:rsid w:val="0041383D"/>
    <w:rsid w:val="00443378"/>
    <w:rsid w:val="00447D8B"/>
    <w:rsid w:val="004770EB"/>
    <w:rsid w:val="004B60BE"/>
    <w:rsid w:val="004F1A5C"/>
    <w:rsid w:val="00511E63"/>
    <w:rsid w:val="00520E58"/>
    <w:rsid w:val="00543C84"/>
    <w:rsid w:val="005454E4"/>
    <w:rsid w:val="00563478"/>
    <w:rsid w:val="0056692F"/>
    <w:rsid w:val="00577B0B"/>
    <w:rsid w:val="00591B95"/>
    <w:rsid w:val="0059228D"/>
    <w:rsid w:val="005E6175"/>
    <w:rsid w:val="00617848"/>
    <w:rsid w:val="0063197E"/>
    <w:rsid w:val="00667235"/>
    <w:rsid w:val="00680FA0"/>
    <w:rsid w:val="00683EDE"/>
    <w:rsid w:val="0069104F"/>
    <w:rsid w:val="006A3CEA"/>
    <w:rsid w:val="006B43F0"/>
    <w:rsid w:val="006B55FF"/>
    <w:rsid w:val="006E69B5"/>
    <w:rsid w:val="006F646F"/>
    <w:rsid w:val="00711182"/>
    <w:rsid w:val="00725FA2"/>
    <w:rsid w:val="007373CF"/>
    <w:rsid w:val="007429A6"/>
    <w:rsid w:val="00757637"/>
    <w:rsid w:val="00780BB4"/>
    <w:rsid w:val="00781DB2"/>
    <w:rsid w:val="007947C1"/>
    <w:rsid w:val="007A7614"/>
    <w:rsid w:val="007C2B3B"/>
    <w:rsid w:val="007C75D2"/>
    <w:rsid w:val="007E6BBD"/>
    <w:rsid w:val="0088053C"/>
    <w:rsid w:val="00904494"/>
    <w:rsid w:val="009867CB"/>
    <w:rsid w:val="00993E4D"/>
    <w:rsid w:val="009A5EBA"/>
    <w:rsid w:val="009C1538"/>
    <w:rsid w:val="00A1559B"/>
    <w:rsid w:val="00A42108"/>
    <w:rsid w:val="00A64743"/>
    <w:rsid w:val="00A77DFD"/>
    <w:rsid w:val="00A959D7"/>
    <w:rsid w:val="00A977CC"/>
    <w:rsid w:val="00AA6044"/>
    <w:rsid w:val="00AA61E5"/>
    <w:rsid w:val="00AB5306"/>
    <w:rsid w:val="00AC70D9"/>
    <w:rsid w:val="00AC7C94"/>
    <w:rsid w:val="00AD2F65"/>
    <w:rsid w:val="00B05ED2"/>
    <w:rsid w:val="00B06DE4"/>
    <w:rsid w:val="00B10F9A"/>
    <w:rsid w:val="00B1660F"/>
    <w:rsid w:val="00B634A0"/>
    <w:rsid w:val="00B634B9"/>
    <w:rsid w:val="00B7031C"/>
    <w:rsid w:val="00BC0B8E"/>
    <w:rsid w:val="00BD4D57"/>
    <w:rsid w:val="00BE0A06"/>
    <w:rsid w:val="00BE2972"/>
    <w:rsid w:val="00BE455A"/>
    <w:rsid w:val="00BF3A36"/>
    <w:rsid w:val="00C06765"/>
    <w:rsid w:val="00C12F71"/>
    <w:rsid w:val="00C35910"/>
    <w:rsid w:val="00C367C9"/>
    <w:rsid w:val="00C77B29"/>
    <w:rsid w:val="00CA669E"/>
    <w:rsid w:val="00CB55F3"/>
    <w:rsid w:val="00CB6F5E"/>
    <w:rsid w:val="00CC05E9"/>
    <w:rsid w:val="00CD1430"/>
    <w:rsid w:val="00CE0B5A"/>
    <w:rsid w:val="00CE2E11"/>
    <w:rsid w:val="00CF09C2"/>
    <w:rsid w:val="00D13FBE"/>
    <w:rsid w:val="00D43543"/>
    <w:rsid w:val="00D535DC"/>
    <w:rsid w:val="00D82B1F"/>
    <w:rsid w:val="00D87D1E"/>
    <w:rsid w:val="00DD4E78"/>
    <w:rsid w:val="00DE3A55"/>
    <w:rsid w:val="00DE7F15"/>
    <w:rsid w:val="00DF6359"/>
    <w:rsid w:val="00E3033D"/>
    <w:rsid w:val="00E330CA"/>
    <w:rsid w:val="00E6095B"/>
    <w:rsid w:val="00E70C24"/>
    <w:rsid w:val="00E83A6E"/>
    <w:rsid w:val="00ED6F16"/>
    <w:rsid w:val="00EF5EF8"/>
    <w:rsid w:val="00EF6E06"/>
    <w:rsid w:val="00F049A9"/>
    <w:rsid w:val="00F230A3"/>
    <w:rsid w:val="00F43C73"/>
    <w:rsid w:val="00F51AEE"/>
    <w:rsid w:val="00F56033"/>
    <w:rsid w:val="00F75246"/>
    <w:rsid w:val="00FB1326"/>
    <w:rsid w:val="00FE7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E344-F653-4936-8C98-F8FA0080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7</Pages>
  <Words>1891</Words>
  <Characters>10405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101</cp:revision>
  <dcterms:created xsi:type="dcterms:W3CDTF">2014-01-23T18:11:00Z</dcterms:created>
  <dcterms:modified xsi:type="dcterms:W3CDTF">2019-01-08T15:09:00Z</dcterms:modified>
</cp:coreProperties>
</file>