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7" w:rsidRDefault="00F138F7" w:rsidP="00346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283AC1" w:rsidRDefault="00283AC1" w:rsidP="00346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138F7" w:rsidTr="00F138F7">
        <w:trPr>
          <w:trHeight w:val="1470"/>
        </w:trPr>
        <w:tc>
          <w:tcPr>
            <w:tcW w:w="9212" w:type="dxa"/>
            <w:shd w:val="clear" w:color="auto" w:fill="F2F2F2" w:themeFill="background1" w:themeFillShade="F2"/>
          </w:tcPr>
          <w:p w:rsidR="00750B60" w:rsidRDefault="00750B60" w:rsidP="00750B60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  <w:t xml:space="preserve">Analyse a priori des risques </w:t>
            </w:r>
          </w:p>
          <w:p w:rsidR="00F138F7" w:rsidRPr="00FD01F6" w:rsidRDefault="00FD01F6" w:rsidP="00750B60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</w:pPr>
            <w:r w:rsidRPr="00FD01F6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  <w:t>VEGA</w:t>
            </w:r>
            <w:r w:rsidR="00750B60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  <w:t xml:space="preserve"> Processus</w:t>
            </w:r>
          </w:p>
          <w:p w:rsidR="00F138F7" w:rsidRDefault="004B58C2" w:rsidP="00750B6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Programme de formation 1</w:t>
            </w:r>
            <w:r w:rsidR="00F138F7" w:rsidRPr="00993E4D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jour</w:t>
            </w:r>
          </w:p>
        </w:tc>
      </w:tr>
    </w:tbl>
    <w:p w:rsidR="004D2D01" w:rsidRDefault="004D2D01" w:rsidP="004D2D0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2D01" w:rsidRDefault="004D2D01" w:rsidP="004D2D01">
      <w:pPr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28062F">
        <w:rPr>
          <w:rFonts w:ascii="Arial" w:eastAsia="Calibri" w:hAnsi="Arial" w:cs="Arial"/>
          <w:color w:val="002060"/>
          <w:sz w:val="24"/>
          <w:szCs w:val="24"/>
        </w:rPr>
        <w:t xml:space="preserve">Développer la culture Sécurité 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et Qualité des soins et les prises en charge des patients </w:t>
      </w:r>
      <w:r w:rsidRPr="0028062F">
        <w:rPr>
          <w:rFonts w:ascii="Arial" w:eastAsia="Calibri" w:hAnsi="Arial" w:cs="Arial"/>
          <w:color w:val="002060"/>
          <w:sz w:val="24"/>
          <w:szCs w:val="24"/>
        </w:rPr>
        <w:t>en remettant en cause collectivement ses pratiques à partir</w:t>
      </w:r>
      <w:r>
        <w:rPr>
          <w:rFonts w:ascii="Arial" w:eastAsia="Calibri" w:hAnsi="Arial" w:cs="Arial"/>
          <w:color w:val="002060"/>
          <w:sz w:val="24"/>
          <w:szCs w:val="24"/>
        </w:rPr>
        <w:t> :</w:t>
      </w:r>
    </w:p>
    <w:p w:rsidR="004D2D01" w:rsidRDefault="004D2D01" w:rsidP="004D2D01">
      <w:pPr>
        <w:pStyle w:val="Paragraphedeliste"/>
        <w:numPr>
          <w:ilvl w:val="0"/>
          <w:numId w:val="21"/>
        </w:numPr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>De l‘identification des risques, de leur analyse et de leur hiérarchisation pour mettre en œuvre des actions correctives simples,</w:t>
      </w:r>
    </w:p>
    <w:p w:rsidR="004D2D01" w:rsidRPr="002C36F7" w:rsidRDefault="004D2D01" w:rsidP="004D2D01">
      <w:pPr>
        <w:pStyle w:val="Paragraphedeliste"/>
        <w:numPr>
          <w:ilvl w:val="0"/>
          <w:numId w:val="21"/>
        </w:numPr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 xml:space="preserve">Des défaillances potentielles d’un processus pour consolider la démarche d’analyse des événements indésirables, </w:t>
      </w:r>
    </w:p>
    <w:p w:rsidR="004D2D01" w:rsidRPr="002C36F7" w:rsidRDefault="004D2D01" w:rsidP="004D2D01">
      <w:pPr>
        <w:pStyle w:val="Paragraphedeliste"/>
        <w:numPr>
          <w:ilvl w:val="0"/>
          <w:numId w:val="21"/>
        </w:numPr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>D</w:t>
      </w:r>
      <w:r w:rsidRPr="002C36F7">
        <w:rPr>
          <w:rFonts w:ascii="Arial" w:eastAsia="Calibri" w:hAnsi="Arial" w:cs="Arial"/>
          <w:color w:val="002060"/>
          <w:sz w:val="24"/>
          <w:szCs w:val="24"/>
        </w:rPr>
        <w:t>’événements indésirables liés aux soins – analyser, comprendre et définir les actions correctives organisationnelles et humaines pertinentes à partir d’exemples pratiques et vécus proposés par les participants.</w:t>
      </w:r>
    </w:p>
    <w:p w:rsidR="004D2D01" w:rsidRPr="001F5176" w:rsidRDefault="004D2D01" w:rsidP="004D2D01">
      <w:pPr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>Cette</w:t>
      </w:r>
      <w:r w:rsidRPr="001F5176">
        <w:rPr>
          <w:rFonts w:ascii="Arial" w:eastAsia="Calibri" w:hAnsi="Arial" w:cs="Arial"/>
          <w:color w:val="002060"/>
          <w:sz w:val="24"/>
          <w:szCs w:val="24"/>
        </w:rPr>
        <w:t xml:space="preserve"> formation/action s’inscrit </w:t>
      </w:r>
      <w:r w:rsidRPr="002C36F7">
        <w:rPr>
          <w:rFonts w:ascii="Arial" w:eastAsia="Calibri" w:hAnsi="Arial" w:cs="Arial"/>
          <w:color w:val="002060"/>
          <w:sz w:val="24"/>
          <w:szCs w:val="24"/>
        </w:rPr>
        <w:t>dans le cadre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Pr="001F5176">
        <w:rPr>
          <w:rFonts w:ascii="Arial" w:eastAsia="Calibri" w:hAnsi="Arial" w:cs="Arial"/>
          <w:color w:val="002060"/>
          <w:sz w:val="24"/>
          <w:szCs w:val="24"/>
        </w:rPr>
        <w:t>des orientations fixées pour les années 2016 à 2018 cf</w:t>
      </w:r>
      <w:r>
        <w:rPr>
          <w:rFonts w:ascii="Arial" w:eastAsia="Calibri" w:hAnsi="Arial" w:cs="Arial"/>
          <w:color w:val="002060"/>
          <w:sz w:val="24"/>
          <w:szCs w:val="24"/>
        </w:rPr>
        <w:t>.</w:t>
      </w:r>
      <w:r w:rsidRPr="001F5176">
        <w:rPr>
          <w:rFonts w:ascii="Arial" w:eastAsia="Calibri" w:hAnsi="Arial" w:cs="Arial"/>
          <w:color w:val="002060"/>
          <w:sz w:val="24"/>
          <w:szCs w:val="24"/>
        </w:rPr>
        <w:t xml:space="preserve"> l’annexe 1 de l’arrêté du 8 décembre 2015 :</w:t>
      </w:r>
    </w:p>
    <w:p w:rsidR="00453281" w:rsidRDefault="004D2D01" w:rsidP="004D2D01">
      <w:pPr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1F5176">
        <w:rPr>
          <w:rFonts w:ascii="Arial" w:eastAsia="Calibri" w:hAnsi="Arial" w:cs="Arial"/>
          <w:color w:val="002060"/>
          <w:sz w:val="24"/>
          <w:szCs w:val="24"/>
        </w:rPr>
        <w:t xml:space="preserve">« S’inscrivent dans ces orientations les actions contribuant à développer, […], une culture de la sécurité des soins passant par […] la déclaration des </w:t>
      </w:r>
      <w:r>
        <w:rPr>
          <w:rFonts w:ascii="Arial" w:eastAsia="Calibri" w:hAnsi="Arial" w:cs="Arial"/>
          <w:color w:val="002060"/>
          <w:sz w:val="24"/>
          <w:szCs w:val="24"/>
        </w:rPr>
        <w:t>événement</w:t>
      </w:r>
      <w:r w:rsidRPr="001F5176">
        <w:rPr>
          <w:rFonts w:ascii="Arial" w:eastAsia="Calibri" w:hAnsi="Arial" w:cs="Arial"/>
          <w:color w:val="002060"/>
          <w:sz w:val="24"/>
          <w:szCs w:val="24"/>
        </w:rPr>
        <w:t>s indésirables liés aux soins, aux médicaments ou à toute substance, ainsi que par une réflexion sur la pertinence des soins et sur le retour d’expérience. »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4D2D01" w:rsidRPr="004D2D01" w:rsidRDefault="004D2D01" w:rsidP="004D2D01">
      <w:pPr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:rsidR="00F138F7" w:rsidRPr="00314DE9" w:rsidRDefault="00F138F7" w:rsidP="00F138F7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Objectif général</w:t>
      </w:r>
    </w:p>
    <w:p w:rsidR="0004375A" w:rsidRDefault="007B76B8" w:rsidP="0004375A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>L’objectif de la</w:t>
      </w:r>
      <w:r w:rsidR="00F138F7" w:rsidRPr="00D535DC">
        <w:rPr>
          <w:rFonts w:ascii="Arial" w:eastAsia="Calibri" w:hAnsi="Arial" w:cs="Arial"/>
          <w:color w:val="002060"/>
          <w:sz w:val="24"/>
          <w:szCs w:val="24"/>
        </w:rPr>
        <w:t xml:space="preserve"> formation 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à l’analyse des risques a priori 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>VEGA</w:t>
      </w:r>
      <w:r w:rsidR="00277C00">
        <w:rPr>
          <w:rFonts w:ascii="Arial" w:eastAsia="Calibri" w:hAnsi="Arial" w:cs="Arial"/>
          <w:color w:val="002060"/>
          <w:sz w:val="24"/>
          <w:szCs w:val="24"/>
        </w:rPr>
        <w:t xml:space="preserve"> Processus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Pr="007B76B8">
        <w:rPr>
          <w:rFonts w:ascii="Arial" w:hAnsi="Arial" w:cs="Arial"/>
          <w:color w:val="002060"/>
          <w:sz w:val="24"/>
          <w:szCs w:val="24"/>
        </w:rPr>
        <w:t>est de consolider la démarche d’analyse des événements indésirables formalisée par la mise en œuvre d’un</w:t>
      </w:r>
      <w:r w:rsidR="00663AB3">
        <w:rPr>
          <w:rFonts w:ascii="Arial" w:hAnsi="Arial" w:cs="Arial"/>
          <w:color w:val="002060"/>
          <w:sz w:val="24"/>
          <w:szCs w:val="24"/>
        </w:rPr>
        <w:t xml:space="preserve"> CREX ou d’une </w:t>
      </w:r>
      <w:r w:rsidRPr="007B76B8">
        <w:rPr>
          <w:rFonts w:ascii="Arial" w:hAnsi="Arial" w:cs="Arial"/>
          <w:color w:val="002060"/>
          <w:sz w:val="24"/>
          <w:szCs w:val="24"/>
        </w:rPr>
        <w:t>RMM.</w:t>
      </w:r>
    </w:p>
    <w:p w:rsidR="00F138F7" w:rsidRDefault="0004375A" w:rsidP="0004375A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371439">
        <w:rPr>
          <w:rFonts w:ascii="Arial" w:eastAsia="Calibri" w:hAnsi="Arial" w:cs="Arial"/>
          <w:color w:val="002060"/>
          <w:sz w:val="24"/>
          <w:szCs w:val="24"/>
        </w:rPr>
        <w:t>La méthode d’anal</w:t>
      </w:r>
      <w:r w:rsidR="00796F84">
        <w:rPr>
          <w:rFonts w:ascii="Arial" w:eastAsia="Calibri" w:hAnsi="Arial" w:cs="Arial"/>
          <w:color w:val="002060"/>
          <w:sz w:val="24"/>
          <w:szCs w:val="24"/>
        </w:rPr>
        <w:t>yse utilisée est la méthode VEGA</w:t>
      </w:r>
      <w:r w:rsidR="00277C00">
        <w:rPr>
          <w:rFonts w:ascii="Arial" w:eastAsia="Calibri" w:hAnsi="Arial" w:cs="Arial"/>
          <w:color w:val="002060"/>
          <w:sz w:val="24"/>
          <w:szCs w:val="24"/>
          <w:vertAlign w:val="superscript"/>
        </w:rPr>
        <w:t xml:space="preserve"> </w:t>
      </w:r>
      <w:r w:rsidR="00277C00">
        <w:rPr>
          <w:rFonts w:ascii="Arial" w:eastAsia="Calibri" w:hAnsi="Arial" w:cs="Arial"/>
          <w:color w:val="002060"/>
          <w:sz w:val="24"/>
          <w:szCs w:val="24"/>
        </w:rPr>
        <w:t>proposée par AFM 42</w:t>
      </w:r>
      <w:r w:rsidRPr="00371439">
        <w:rPr>
          <w:rFonts w:ascii="Arial" w:eastAsia="Calibri" w:hAnsi="Arial" w:cs="Arial"/>
          <w:color w:val="002060"/>
          <w:sz w:val="24"/>
          <w:szCs w:val="24"/>
        </w:rPr>
        <w:t>,</w:t>
      </w:r>
      <w:r w:rsidRPr="0004375A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basée </w:t>
      </w:r>
      <w:r w:rsidRPr="00371439">
        <w:rPr>
          <w:rFonts w:ascii="Arial" w:eastAsia="Calibri" w:hAnsi="Arial" w:cs="Arial"/>
          <w:color w:val="002060"/>
          <w:sz w:val="24"/>
          <w:szCs w:val="24"/>
        </w:rPr>
        <w:t>sur la prise en compte des défaillances identifiées par le signalement et l’analy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se des événements indésirables issus des retours d’expérience et sur </w:t>
      </w:r>
      <w:r w:rsidRPr="00371439">
        <w:rPr>
          <w:rFonts w:ascii="Arial" w:eastAsia="Calibri" w:hAnsi="Arial" w:cs="Arial"/>
          <w:color w:val="002060"/>
          <w:sz w:val="24"/>
          <w:szCs w:val="24"/>
        </w:rPr>
        <w:t>l’analyse des défaillances potentielles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 du processus </w:t>
      </w:r>
      <w:r w:rsidR="00453281">
        <w:rPr>
          <w:rFonts w:ascii="Arial" w:eastAsia="Calibri" w:hAnsi="Arial" w:cs="Arial"/>
          <w:color w:val="002060"/>
          <w:sz w:val="24"/>
          <w:szCs w:val="24"/>
        </w:rPr>
        <w:t>en appliquant le concept de la chaîne causale</w:t>
      </w:r>
      <w:r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D45E4D" w:rsidRPr="004D2D01" w:rsidRDefault="00D45E4D" w:rsidP="0004375A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4D2D01">
        <w:rPr>
          <w:rFonts w:ascii="Arial" w:eastAsia="Calibri" w:hAnsi="Arial" w:cs="Arial"/>
          <w:color w:val="002060"/>
          <w:sz w:val="24"/>
          <w:szCs w:val="24"/>
        </w:rPr>
        <w:t>Les résultats de ces analyses pourront enrichir la cartographie des risques des thématiques du compte qualité.</w:t>
      </w:r>
    </w:p>
    <w:p w:rsidR="0004375A" w:rsidRDefault="0004375A" w:rsidP="0004375A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:rsidR="004D2D01" w:rsidRDefault="004D2D01" w:rsidP="0004375A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:rsidR="004D2D01" w:rsidRPr="0004375A" w:rsidRDefault="004D2D01" w:rsidP="0004375A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:rsidR="00F138F7" w:rsidRDefault="00F138F7" w:rsidP="00F138F7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Objectifs pédagogiques</w:t>
      </w:r>
    </w:p>
    <w:p w:rsidR="00F138F7" w:rsidRDefault="00F138F7" w:rsidP="00F138F7">
      <w:pPr>
        <w:pStyle w:val="Paragraphedeliste"/>
        <w:numPr>
          <w:ilvl w:val="0"/>
          <w:numId w:val="6"/>
        </w:numPr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D535DC">
        <w:rPr>
          <w:rFonts w:ascii="Arial" w:eastAsia="Calibri" w:hAnsi="Arial" w:cs="Arial"/>
          <w:color w:val="002060"/>
          <w:sz w:val="24"/>
          <w:szCs w:val="24"/>
        </w:rPr>
        <w:t xml:space="preserve">Faire acquérir à toutes les catégories de personnel soignant ou non 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>la compétence nécessaire à la construction d’une analyse de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>s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 xml:space="preserve"> risque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>s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 xml:space="preserve"> a priori grâce à une</w:t>
      </w:r>
      <w:r w:rsidRPr="00D535DC">
        <w:rPr>
          <w:rFonts w:ascii="Arial" w:eastAsia="Calibri" w:hAnsi="Arial" w:cs="Arial"/>
          <w:color w:val="002060"/>
          <w:sz w:val="24"/>
          <w:szCs w:val="24"/>
        </w:rPr>
        <w:t xml:space="preserve"> méthode rigoureuse 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 xml:space="preserve">et simple 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 xml:space="preserve">à partir des défaillances identifiées 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>par le signalement et l’analyse des événements indésirables (CREX – RMM)</w:t>
      </w:r>
      <w:r w:rsidRPr="00D535DC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>complétées par l’analyse des défaillances potentielles d’un processus, de décider d’actions correctives pertinentes et de les prioriser.</w:t>
      </w:r>
    </w:p>
    <w:p w:rsidR="00D45E4D" w:rsidRPr="004D2D01" w:rsidRDefault="00D45E4D" w:rsidP="00F138F7">
      <w:pPr>
        <w:pStyle w:val="Paragraphedeliste"/>
        <w:numPr>
          <w:ilvl w:val="0"/>
          <w:numId w:val="6"/>
        </w:numPr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4D2D01">
        <w:rPr>
          <w:rFonts w:ascii="Arial" w:eastAsia="Calibri" w:hAnsi="Arial" w:cs="Arial"/>
          <w:color w:val="002060"/>
          <w:sz w:val="24"/>
          <w:szCs w:val="24"/>
        </w:rPr>
        <w:t>Faire acquérir aux personnels responsables de l’étude les méthodes leur permettant d’identifier les limites du ou des processus qui devront faire l’objet d’une analyse a priori des risques.</w:t>
      </w:r>
    </w:p>
    <w:p w:rsidR="00D45E4D" w:rsidRPr="004D2D01" w:rsidRDefault="00F138F7" w:rsidP="004D2D01">
      <w:pPr>
        <w:pStyle w:val="Paragraphedeliste"/>
        <w:numPr>
          <w:ilvl w:val="0"/>
          <w:numId w:val="6"/>
        </w:numPr>
        <w:jc w:val="both"/>
        <w:rPr>
          <w:rFonts w:ascii="Arial" w:eastAsia="Calibri" w:hAnsi="Arial" w:cs="Arial"/>
          <w:b/>
          <w:color w:val="002060"/>
          <w:sz w:val="24"/>
          <w:szCs w:val="24"/>
        </w:rPr>
      </w:pPr>
      <w:r w:rsidRPr="007662C3">
        <w:rPr>
          <w:rFonts w:ascii="Arial" w:eastAsia="Calibri" w:hAnsi="Arial" w:cs="Arial"/>
          <w:color w:val="002060"/>
          <w:sz w:val="24"/>
          <w:szCs w:val="24"/>
        </w:rPr>
        <w:t xml:space="preserve">Faire acquérir </w:t>
      </w:r>
      <w:r w:rsidR="007662C3">
        <w:rPr>
          <w:rFonts w:ascii="Arial" w:eastAsia="Calibri" w:hAnsi="Arial" w:cs="Arial"/>
          <w:color w:val="002060"/>
          <w:sz w:val="24"/>
          <w:szCs w:val="24"/>
        </w:rPr>
        <w:t>aux personnels responsables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 xml:space="preserve"> de l’étude les méthodes leur permettant d’organiser la démarche pour qu’</w:t>
      </w:r>
      <w:r w:rsidR="007662C3">
        <w:rPr>
          <w:rFonts w:ascii="Arial" w:eastAsia="Calibri" w:hAnsi="Arial" w:cs="Arial"/>
          <w:color w:val="002060"/>
          <w:sz w:val="24"/>
          <w:szCs w:val="24"/>
        </w:rPr>
        <w:t>ils soien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>t en mesure de produire une cartographie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 xml:space="preserve"> des risques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>du ou des processus</w:t>
      </w:r>
      <w:r w:rsidR="00D45E4D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D45E4D" w:rsidRPr="004D2D01">
        <w:rPr>
          <w:rFonts w:ascii="Arial" w:eastAsia="Calibri" w:hAnsi="Arial" w:cs="Arial"/>
          <w:color w:val="002060"/>
          <w:sz w:val="24"/>
          <w:szCs w:val="24"/>
        </w:rPr>
        <w:t>préalablement identifiés,</w:t>
      </w:r>
      <w:r w:rsidR="007662C3" w:rsidRPr="004D2D01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 xml:space="preserve">et 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>un calendrier de mise en œuvre d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 xml:space="preserve">es 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>actions correctives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 xml:space="preserve"> retenues pour </w:t>
      </w:r>
      <w:r w:rsidR="007662C3">
        <w:rPr>
          <w:rFonts w:ascii="Arial" w:eastAsia="Calibri" w:hAnsi="Arial" w:cs="Arial"/>
          <w:color w:val="002060"/>
          <w:sz w:val="24"/>
          <w:szCs w:val="24"/>
        </w:rPr>
        <w:t xml:space="preserve">en 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>réduire</w:t>
      </w:r>
      <w:r w:rsidR="007662C3">
        <w:rPr>
          <w:rFonts w:ascii="Arial" w:eastAsia="Calibri" w:hAnsi="Arial" w:cs="Arial"/>
          <w:color w:val="002060"/>
          <w:sz w:val="24"/>
          <w:szCs w:val="24"/>
        </w:rPr>
        <w:t xml:space="preserve"> la criticité.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01014D" w:rsidRPr="00C40735" w:rsidRDefault="00F138F7" w:rsidP="00F138F7">
      <w:pPr>
        <w:pStyle w:val="Paragraphedeliste"/>
        <w:numPr>
          <w:ilvl w:val="0"/>
          <w:numId w:val="6"/>
        </w:numPr>
        <w:jc w:val="both"/>
        <w:rPr>
          <w:rFonts w:ascii="Arial" w:eastAsia="Calibri" w:hAnsi="Arial" w:cs="Arial"/>
          <w:b/>
          <w:color w:val="002060"/>
          <w:sz w:val="24"/>
          <w:szCs w:val="24"/>
        </w:rPr>
      </w:pPr>
      <w:r w:rsidRPr="007662C3">
        <w:rPr>
          <w:rFonts w:ascii="Arial" w:eastAsia="Calibri" w:hAnsi="Arial" w:cs="Arial"/>
          <w:color w:val="002060"/>
          <w:sz w:val="24"/>
          <w:szCs w:val="24"/>
        </w:rPr>
        <w:t>A l’issue de la formation, l</w:t>
      </w:r>
      <w:r w:rsidR="007662C3">
        <w:rPr>
          <w:rFonts w:ascii="Arial" w:eastAsia="Calibri" w:hAnsi="Arial" w:cs="Arial"/>
          <w:color w:val="002060"/>
          <w:sz w:val="24"/>
          <w:szCs w:val="24"/>
        </w:rPr>
        <w:t>es participants ont assimilé la</w:t>
      </w:r>
      <w:r w:rsidR="002B515C">
        <w:rPr>
          <w:rFonts w:ascii="Arial" w:eastAsia="Calibri" w:hAnsi="Arial" w:cs="Arial"/>
          <w:color w:val="002060"/>
          <w:sz w:val="24"/>
          <w:szCs w:val="24"/>
        </w:rPr>
        <w:t xml:space="preserve"> méthode</w:t>
      </w:r>
      <w:r w:rsidRPr="007662C3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453281">
        <w:rPr>
          <w:rFonts w:ascii="Arial" w:eastAsia="Calibri" w:hAnsi="Arial" w:cs="Arial"/>
          <w:color w:val="002060"/>
          <w:sz w:val="24"/>
          <w:szCs w:val="24"/>
        </w:rPr>
        <w:t>VEGA Processus</w:t>
      </w:r>
      <w:r w:rsidR="0001014D">
        <w:rPr>
          <w:rFonts w:ascii="Arial" w:eastAsia="Calibri" w:hAnsi="Arial" w:cs="Arial"/>
          <w:color w:val="002060"/>
          <w:sz w:val="24"/>
          <w:szCs w:val="24"/>
        </w:rPr>
        <w:t xml:space="preserve">. </w:t>
      </w:r>
      <w:r w:rsidRPr="007662C3">
        <w:rPr>
          <w:rFonts w:ascii="Arial" w:eastAsia="Calibri" w:hAnsi="Arial" w:cs="Arial"/>
          <w:color w:val="002060"/>
          <w:sz w:val="24"/>
          <w:szCs w:val="24"/>
        </w:rPr>
        <w:t>Ils sont capables de participer et de mettre en œuvre dans leur établissement, unité de soins ou service les diff</w:t>
      </w:r>
      <w:r w:rsidR="0001014D">
        <w:rPr>
          <w:rFonts w:ascii="Arial" w:eastAsia="Calibri" w:hAnsi="Arial" w:cs="Arial"/>
          <w:color w:val="002060"/>
          <w:sz w:val="24"/>
          <w:szCs w:val="24"/>
        </w:rPr>
        <w:t>érentes étapes d’une analyse a priori des risques.</w:t>
      </w:r>
    </w:p>
    <w:p w:rsidR="0085014B" w:rsidRDefault="0085014B" w:rsidP="00453281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</w:p>
    <w:p w:rsidR="001B3278" w:rsidRDefault="00F138F7" w:rsidP="00453281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Public concerné</w:t>
      </w:r>
    </w:p>
    <w:p w:rsidR="004D2D01" w:rsidRDefault="001B3278" w:rsidP="00453281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58298C">
        <w:rPr>
          <w:rFonts w:ascii="Arial" w:eastAsia="Calibri" w:hAnsi="Arial" w:cs="Arial"/>
          <w:color w:val="002060"/>
          <w:sz w:val="24"/>
          <w:szCs w:val="24"/>
        </w:rPr>
        <w:t>Gestionnaire de risques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, Responsable qualité. </w:t>
      </w:r>
    </w:p>
    <w:p w:rsidR="00F138F7" w:rsidRPr="001B3278" w:rsidRDefault="001B3278" w:rsidP="00453281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D535DC">
        <w:rPr>
          <w:rFonts w:ascii="Arial" w:hAnsi="Arial" w:cs="Arial"/>
          <w:color w:val="002060"/>
          <w:sz w:val="24"/>
          <w:szCs w:val="24"/>
        </w:rPr>
        <w:t>T</w:t>
      </w:r>
      <w:r w:rsidR="00453281">
        <w:rPr>
          <w:rFonts w:ascii="Arial" w:hAnsi="Arial" w:cs="Arial"/>
          <w:color w:val="002060"/>
          <w:sz w:val="24"/>
          <w:szCs w:val="24"/>
        </w:rPr>
        <w:t>out professionnel d’une unité de</w:t>
      </w:r>
      <w:r w:rsidR="00D45E4D">
        <w:rPr>
          <w:rFonts w:ascii="Arial" w:hAnsi="Arial" w:cs="Arial"/>
          <w:color w:val="002060"/>
          <w:sz w:val="24"/>
          <w:szCs w:val="24"/>
        </w:rPr>
        <w:t xml:space="preserve"> </w:t>
      </w:r>
      <w:r w:rsidR="00F138F7" w:rsidRPr="00D535DC">
        <w:rPr>
          <w:rFonts w:ascii="Arial" w:hAnsi="Arial" w:cs="Arial"/>
          <w:color w:val="002060"/>
          <w:sz w:val="24"/>
          <w:szCs w:val="24"/>
        </w:rPr>
        <w:t xml:space="preserve">soins : Médecins, Chirurgiens, Anesthésistes, </w:t>
      </w:r>
      <w:r w:rsidR="0041189E">
        <w:rPr>
          <w:rFonts w:ascii="Arial" w:hAnsi="Arial" w:cs="Arial"/>
          <w:color w:val="002060"/>
          <w:sz w:val="24"/>
          <w:szCs w:val="24"/>
        </w:rPr>
        <w:t xml:space="preserve">Pharmacien, </w:t>
      </w:r>
      <w:r w:rsidR="00F138F7" w:rsidRPr="00D535DC">
        <w:rPr>
          <w:rFonts w:ascii="Arial" w:hAnsi="Arial" w:cs="Arial"/>
          <w:color w:val="002060"/>
          <w:sz w:val="24"/>
          <w:szCs w:val="24"/>
        </w:rPr>
        <w:t>Cadres, IBODE, IADE, IDE, AS, Secrétaire, Brancardier…et de façon plus généra</w:t>
      </w:r>
      <w:r w:rsidR="0058298C">
        <w:rPr>
          <w:rFonts w:ascii="Arial" w:hAnsi="Arial" w:cs="Arial"/>
          <w:color w:val="002060"/>
          <w:sz w:val="24"/>
          <w:szCs w:val="24"/>
        </w:rPr>
        <w:t>le</w:t>
      </w:r>
      <w:r w:rsidR="00663AB3">
        <w:rPr>
          <w:rFonts w:ascii="Arial" w:hAnsi="Arial" w:cs="Arial"/>
          <w:color w:val="002060"/>
          <w:sz w:val="24"/>
          <w:szCs w:val="24"/>
        </w:rPr>
        <w:t xml:space="preserve"> tout personnel de santé</w:t>
      </w:r>
      <w:r w:rsidR="00F138F7" w:rsidRPr="00D535DC">
        <w:rPr>
          <w:rFonts w:ascii="Arial" w:hAnsi="Arial" w:cs="Arial"/>
          <w:color w:val="002060"/>
          <w:sz w:val="24"/>
          <w:szCs w:val="24"/>
        </w:rPr>
        <w:t>.</w:t>
      </w:r>
    </w:p>
    <w:p w:rsidR="00663AB3" w:rsidRPr="000B5E7B" w:rsidRDefault="00663AB3" w:rsidP="000B5E7B">
      <w:pPr>
        <w:spacing w:after="0"/>
        <w:rPr>
          <w:rFonts w:ascii="Arial" w:eastAsia="Calibri" w:hAnsi="Arial" w:cs="Arial"/>
          <w:color w:val="002060"/>
          <w:sz w:val="24"/>
          <w:szCs w:val="24"/>
        </w:rPr>
      </w:pPr>
    </w:p>
    <w:p w:rsidR="00F138F7" w:rsidRPr="00314DE9" w:rsidRDefault="00F138F7" w:rsidP="00F138F7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Pré requis</w:t>
      </w:r>
    </w:p>
    <w:p w:rsidR="00F138F7" w:rsidRDefault="00B57012" w:rsidP="003C15EB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La composition du groupe doit </w:t>
      </w:r>
      <w:r w:rsidR="00F138F7" w:rsidRPr="00D535DC">
        <w:rPr>
          <w:rFonts w:ascii="Arial" w:hAnsi="Arial" w:cs="Arial"/>
          <w:color w:val="002060"/>
          <w:sz w:val="24"/>
          <w:szCs w:val="24"/>
        </w:rPr>
        <w:t>être pluri-professionnelle.</w:t>
      </w:r>
    </w:p>
    <w:p w:rsidR="004D2D01" w:rsidRDefault="004D2D01" w:rsidP="003C15EB">
      <w:pPr>
        <w:rPr>
          <w:rFonts w:ascii="Arial" w:hAnsi="Arial" w:cs="Arial"/>
          <w:color w:val="002060"/>
          <w:sz w:val="24"/>
          <w:szCs w:val="24"/>
        </w:rPr>
      </w:pPr>
    </w:p>
    <w:p w:rsidR="004D2D01" w:rsidRDefault="004D2D01" w:rsidP="003C15EB">
      <w:pPr>
        <w:rPr>
          <w:rFonts w:ascii="Arial" w:hAnsi="Arial" w:cs="Arial"/>
          <w:color w:val="002060"/>
          <w:sz w:val="24"/>
          <w:szCs w:val="24"/>
        </w:rPr>
      </w:pPr>
    </w:p>
    <w:p w:rsidR="004D2D01" w:rsidRDefault="004D2D01" w:rsidP="003C15EB">
      <w:pPr>
        <w:rPr>
          <w:rFonts w:ascii="Arial" w:hAnsi="Arial" w:cs="Arial"/>
          <w:color w:val="002060"/>
          <w:sz w:val="24"/>
          <w:szCs w:val="24"/>
        </w:rPr>
      </w:pPr>
    </w:p>
    <w:p w:rsidR="004D2D01" w:rsidRDefault="004D2D01" w:rsidP="003C15EB">
      <w:pPr>
        <w:rPr>
          <w:rFonts w:ascii="Arial" w:hAnsi="Arial" w:cs="Arial"/>
          <w:color w:val="002060"/>
          <w:sz w:val="24"/>
          <w:szCs w:val="24"/>
        </w:rPr>
      </w:pPr>
    </w:p>
    <w:p w:rsidR="004D2D01" w:rsidRDefault="004D2D01" w:rsidP="003C15EB">
      <w:pPr>
        <w:rPr>
          <w:rFonts w:ascii="Arial" w:hAnsi="Arial" w:cs="Arial"/>
          <w:color w:val="002060"/>
          <w:sz w:val="24"/>
          <w:szCs w:val="24"/>
        </w:rPr>
      </w:pPr>
    </w:p>
    <w:p w:rsidR="004D2D01" w:rsidRDefault="004D2D01" w:rsidP="004D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 xml:space="preserve">Déroulé pédagogique de l’action - </w:t>
      </w: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Méthodes et moyens pédagogiques</w:t>
      </w:r>
    </w:p>
    <w:p w:rsidR="004D2D01" w:rsidRPr="00D535DC" w:rsidRDefault="004D2D01" w:rsidP="004D2D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 w:rsidRPr="00717B0C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fr-FR"/>
        </w:rPr>
        <w:t>Lieu</w:t>
      </w:r>
      <w:r w:rsidRPr="00D535D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 :</w:t>
      </w:r>
      <w:r w:rsidRPr="00D535D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sur site </w:t>
      </w: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>ou regroupement de</w:t>
      </w:r>
      <w:r w:rsidRPr="00D535D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plusieurs établissements</w:t>
      </w:r>
    </w:p>
    <w:p w:rsidR="004D2D01" w:rsidRPr="001A67C0" w:rsidRDefault="004D2D01" w:rsidP="004D2D01">
      <w:pPr>
        <w:spacing w:before="120" w:after="0" w:line="240" w:lineRule="auto"/>
        <w:rPr>
          <w:rFonts w:ascii="Arial" w:eastAsia="Times New Roman" w:hAnsi="Arial" w:cs="Arial"/>
          <w:color w:val="002060"/>
          <w:sz w:val="24"/>
          <w:szCs w:val="24"/>
          <w:u w:val="single"/>
          <w:lang w:eastAsia="fr-FR"/>
        </w:rPr>
      </w:pPr>
      <w:r w:rsidRPr="0066165A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fr-FR"/>
        </w:rPr>
        <w:t>Déroulé pédagogique - Programme</w:t>
      </w:r>
    </w:p>
    <w:p w:rsidR="004D2D01" w:rsidRDefault="004D2D01" w:rsidP="004D2D01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4D2D01" w:rsidRPr="00F277BC" w:rsidRDefault="004D2D01" w:rsidP="004D2D01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1 – 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Tour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de table -</w:t>
      </w:r>
      <w:r w:rsidRPr="00F277B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relevé d'interrogations et des attentes.</w:t>
      </w:r>
    </w:p>
    <w:p w:rsidR="004D2D01" w:rsidRPr="006E7355" w:rsidRDefault="004D2D01" w:rsidP="004D2D01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</w:p>
    <w:p w:rsidR="004D2D01" w:rsidRPr="00F277BC" w:rsidRDefault="004D2D01" w:rsidP="004D2D01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2 – 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Le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système de gestion de la sécurité – </w:t>
      </w:r>
      <w:r w:rsidRPr="00F277B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La notion de risque</w:t>
      </w:r>
    </w:p>
    <w:p w:rsidR="004D2D01" w:rsidRPr="006E7355" w:rsidRDefault="004D2D01" w:rsidP="004D2D01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</w:p>
    <w:p w:rsidR="004D2D01" w:rsidRPr="00F277BC" w:rsidRDefault="004D2D01" w:rsidP="004D2D01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3 – 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Présentation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de VEGA</w:t>
      </w:r>
    </w:p>
    <w:p w:rsidR="004D2D01" w:rsidRPr="006E7355" w:rsidRDefault="004D2D01" w:rsidP="004D2D0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6E7355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 </w:t>
      </w:r>
    </w:p>
    <w:p w:rsidR="004D2D01" w:rsidRPr="00F277BC" w:rsidRDefault="004D2D01" w:rsidP="004D2D0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4 –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Notions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d'événement et de défaillance</w:t>
      </w:r>
    </w:p>
    <w:p w:rsidR="004D2D01" w:rsidRPr="006E7355" w:rsidRDefault="004D2D01" w:rsidP="004D2D01">
      <w:pPr>
        <w:spacing w:after="0" w:line="240" w:lineRule="auto"/>
        <w:ind w:left="795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</w:p>
    <w:p w:rsidR="004D2D01" w:rsidRPr="00F277BC" w:rsidRDefault="004D2D01" w:rsidP="004D2D0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5 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 L’organisation de VEGA</w:t>
      </w:r>
    </w:p>
    <w:p w:rsidR="004D2D01" w:rsidRDefault="004D2D01" w:rsidP="004D2D01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:rsidR="004D2D01" w:rsidRDefault="004D2D01" w:rsidP="004D2D01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</w:p>
    <w:p w:rsidR="004D2D01" w:rsidRPr="00F277BC" w:rsidRDefault="004D2D01" w:rsidP="004D2D01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6 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– Méthode VEGA Processus - </w:t>
      </w:r>
      <w:r w:rsidRPr="00F277B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exemple</w:t>
      </w:r>
    </w:p>
    <w:p w:rsidR="004D2D01" w:rsidRDefault="004D2D01" w:rsidP="004D2D01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:rsidR="004D2D01" w:rsidRPr="00F277BC" w:rsidRDefault="004D2D01" w:rsidP="004D2D01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7 </w:t>
      </w:r>
      <w:r w:rsidRPr="00F277B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 Atelier :</w:t>
      </w:r>
    </w:p>
    <w:p w:rsidR="004D2D01" w:rsidRDefault="004D2D01" w:rsidP="004D2D01">
      <w:pPr>
        <w:pStyle w:val="Paragraphedeliste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>choix d’un processus et d’un sous processus – Modélisation</w:t>
      </w:r>
    </w:p>
    <w:p w:rsidR="004D2D01" w:rsidRPr="00F277BC" w:rsidRDefault="004D2D01" w:rsidP="004D2D01">
      <w:pPr>
        <w:pStyle w:val="NormalWeb"/>
        <w:numPr>
          <w:ilvl w:val="0"/>
          <w:numId w:val="10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</w:pPr>
      <w:r>
        <w:rPr>
          <w:rFonts w:ascii="Arial" w:eastAsiaTheme="minorEastAsia" w:hAnsi="Arial" w:cstheme="minorBidi"/>
          <w:bCs/>
          <w:color w:val="00164E"/>
        </w:rPr>
        <w:t>Modes de défaillances – A</w:t>
      </w:r>
      <w:r w:rsidRPr="00E126A3">
        <w:rPr>
          <w:rFonts w:ascii="Arial" w:eastAsiaTheme="minorEastAsia" w:hAnsi="Arial" w:cstheme="minorBidi"/>
          <w:bCs/>
          <w:color w:val="00164E"/>
        </w:rPr>
        <w:t>nalyse des cau</w:t>
      </w:r>
      <w:r>
        <w:rPr>
          <w:rFonts w:ascii="Arial" w:eastAsiaTheme="minorEastAsia" w:hAnsi="Arial" w:cstheme="minorBidi"/>
          <w:bCs/>
          <w:color w:val="00164E"/>
        </w:rPr>
        <w:t xml:space="preserve">ses – Effets  </w:t>
      </w:r>
    </w:p>
    <w:p w:rsidR="004D2D01" w:rsidRPr="00F277BC" w:rsidRDefault="004D2D01" w:rsidP="004D2D01">
      <w:pPr>
        <w:pStyle w:val="NormalWeb"/>
        <w:numPr>
          <w:ilvl w:val="0"/>
          <w:numId w:val="10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</w:pPr>
      <w:r>
        <w:rPr>
          <w:rFonts w:ascii="Arial" w:eastAsiaTheme="minorEastAsia" w:hAnsi="Arial" w:cstheme="minorBidi"/>
          <w:bCs/>
          <w:color w:val="00164E"/>
        </w:rPr>
        <w:t xml:space="preserve">Evaluation de la criticité des défaillances  </w:t>
      </w:r>
    </w:p>
    <w:p w:rsidR="004D2D01" w:rsidRDefault="004D2D01" w:rsidP="004D2D01">
      <w:pPr>
        <w:pStyle w:val="NormalWeb"/>
        <w:numPr>
          <w:ilvl w:val="0"/>
          <w:numId w:val="10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</w:pPr>
      <w:r>
        <w:rPr>
          <w:rFonts w:ascii="Arial" w:eastAsiaTheme="minorEastAsia" w:hAnsi="Arial" w:cstheme="minorBidi"/>
          <w:bCs/>
          <w:color w:val="00164E"/>
        </w:rPr>
        <w:t>Recherche d’</w:t>
      </w:r>
      <w:r w:rsidRPr="00E126A3">
        <w:rPr>
          <w:rFonts w:ascii="Arial" w:eastAsiaTheme="minorEastAsia" w:hAnsi="Arial" w:cstheme="minorBidi"/>
          <w:bCs/>
          <w:color w:val="00164E"/>
        </w:rPr>
        <w:t>Actions</w:t>
      </w:r>
      <w:r>
        <w:rPr>
          <w:rFonts w:ascii="Arial" w:eastAsiaTheme="minorEastAsia" w:hAnsi="Arial" w:cstheme="minorBidi"/>
          <w:bCs/>
          <w:color w:val="00164E"/>
        </w:rPr>
        <w:t xml:space="preserve">  C</w:t>
      </w:r>
      <w:r w:rsidRPr="00E126A3">
        <w:rPr>
          <w:rFonts w:ascii="Arial" w:eastAsiaTheme="minorEastAsia" w:hAnsi="Arial" w:cstheme="minorBidi"/>
          <w:bCs/>
          <w:color w:val="00164E"/>
        </w:rPr>
        <w:t>orrectives – Responsabilités</w:t>
      </w:r>
      <w:r>
        <w:t xml:space="preserve">  </w:t>
      </w:r>
    </w:p>
    <w:p w:rsidR="004D2D01" w:rsidRPr="008A1B8F" w:rsidRDefault="004D2D01" w:rsidP="004D2D01">
      <w:pPr>
        <w:pStyle w:val="NormalWeb"/>
        <w:numPr>
          <w:ilvl w:val="0"/>
          <w:numId w:val="10"/>
        </w:numPr>
        <w:kinsoku w:val="0"/>
        <w:overflowPunct w:val="0"/>
        <w:spacing w:before="0" w:beforeAutospacing="0" w:after="0" w:afterAutospacing="0" w:line="276" w:lineRule="auto"/>
        <w:jc w:val="both"/>
        <w:textAlignment w:val="baseline"/>
      </w:pPr>
      <w:r w:rsidRPr="00E126A3">
        <w:rPr>
          <w:rFonts w:ascii="Arial" w:eastAsiaTheme="minorEastAsia" w:hAnsi="Arial" w:cstheme="minorBidi"/>
          <w:bCs/>
          <w:color w:val="00164E"/>
        </w:rPr>
        <w:t>Maîtrise</w:t>
      </w:r>
      <w:r>
        <w:rPr>
          <w:rFonts w:ascii="Arial" w:eastAsiaTheme="minorEastAsia" w:hAnsi="Arial" w:cstheme="minorBidi"/>
          <w:bCs/>
          <w:color w:val="00164E"/>
        </w:rPr>
        <w:t xml:space="preserve"> </w:t>
      </w:r>
      <w:r w:rsidRPr="00E126A3">
        <w:rPr>
          <w:rFonts w:ascii="Arial" w:eastAsiaTheme="minorEastAsia" w:hAnsi="Arial" w:cstheme="minorBidi"/>
          <w:bCs/>
          <w:color w:val="00164E"/>
        </w:rPr>
        <w:t xml:space="preserve"> des risques après </w:t>
      </w:r>
      <w:r>
        <w:rPr>
          <w:rFonts w:ascii="Arial" w:eastAsiaTheme="minorEastAsia" w:hAnsi="Arial" w:cstheme="minorBidi"/>
          <w:bCs/>
          <w:color w:val="00164E"/>
        </w:rPr>
        <w:t>actions correctives.</w:t>
      </w:r>
    </w:p>
    <w:p w:rsidR="004D2D01" w:rsidRPr="008A1B8F" w:rsidRDefault="004D2D01" w:rsidP="004D2D01">
      <w:pPr>
        <w:pStyle w:val="NormalWeb"/>
        <w:kinsoku w:val="0"/>
        <w:overflowPunct w:val="0"/>
        <w:spacing w:before="0" w:beforeAutospacing="0" w:after="0" w:afterAutospacing="0" w:line="276" w:lineRule="auto"/>
        <w:ind w:left="714"/>
        <w:textAlignment w:val="baseline"/>
      </w:pPr>
    </w:p>
    <w:p w:rsidR="004D2D01" w:rsidRPr="008A1B8F" w:rsidRDefault="004D2D01" w:rsidP="004D2D01">
      <w:pPr>
        <w:spacing w:after="0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 w:rsidRPr="008A1B8F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8 – Les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facteurs clés de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succès </w:t>
      </w:r>
    </w:p>
    <w:p w:rsidR="004D2D01" w:rsidRPr="006E7355" w:rsidRDefault="004D2D01" w:rsidP="004D2D01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:rsidR="004D2D01" w:rsidRDefault="004D2D01" w:rsidP="004D2D01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9</w:t>
      </w: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 Les i</w:t>
      </w: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ndicateurs</w:t>
      </w: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de VEGA Processus</w:t>
      </w:r>
    </w:p>
    <w:p w:rsidR="004D2D01" w:rsidRPr="008A1B8F" w:rsidRDefault="004D2D01" w:rsidP="004D2D0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</w:pPr>
    </w:p>
    <w:p w:rsidR="004D2D01" w:rsidRPr="006E7355" w:rsidRDefault="004D2D01" w:rsidP="004D2D01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10</w:t>
      </w: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–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Plan d’actions – Evaluation - Bilan</w:t>
      </w:r>
    </w:p>
    <w:p w:rsidR="004D2D01" w:rsidRDefault="004D2D01" w:rsidP="003C15EB">
      <w:pPr>
        <w:rPr>
          <w:rFonts w:ascii="Arial" w:hAnsi="Arial" w:cs="Arial"/>
          <w:color w:val="002060"/>
          <w:sz w:val="24"/>
          <w:szCs w:val="24"/>
        </w:rPr>
      </w:pPr>
    </w:p>
    <w:p w:rsidR="004D2D01" w:rsidRDefault="004D2D01" w:rsidP="004D2D01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</w:p>
    <w:p w:rsidR="004D2D01" w:rsidRPr="0084273F" w:rsidRDefault="004D2D01" w:rsidP="004D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84273F">
        <w:rPr>
          <w:rFonts w:ascii="Arial" w:eastAsia="Calibri" w:hAnsi="Arial" w:cs="Arial"/>
          <w:b/>
          <w:color w:val="002060"/>
          <w:sz w:val="24"/>
          <w:szCs w:val="24"/>
        </w:rPr>
        <w:t>Méthodes pédagogiques mises en œuvre</w:t>
      </w:r>
    </w:p>
    <w:p w:rsidR="0001014D" w:rsidRDefault="00673A61" w:rsidP="00AD15C0">
      <w:pPr>
        <w:spacing w:before="100" w:beforeAutospacing="1" w:after="100" w:afterAutospacing="1"/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 xml:space="preserve">L’acquisition de l’analyse a priori des risques s’effectue à </w:t>
      </w:r>
      <w:r w:rsidR="0001014D" w:rsidRPr="007662C3">
        <w:rPr>
          <w:rFonts w:ascii="Arial" w:eastAsia="Calibri" w:hAnsi="Arial" w:cs="Arial"/>
          <w:color w:val="002060"/>
          <w:sz w:val="24"/>
          <w:szCs w:val="24"/>
        </w:rPr>
        <w:t>partir d’</w:t>
      </w:r>
      <w:r w:rsidR="0001014D">
        <w:rPr>
          <w:rFonts w:ascii="Arial" w:eastAsia="Calibri" w:hAnsi="Arial" w:cs="Arial"/>
          <w:color w:val="002060"/>
          <w:sz w:val="24"/>
          <w:szCs w:val="24"/>
        </w:rPr>
        <w:t>exposés de la méthode</w:t>
      </w:r>
      <w:r w:rsidR="0001014D" w:rsidRPr="007662C3">
        <w:rPr>
          <w:rFonts w:ascii="Arial" w:eastAsia="Calibri" w:hAnsi="Arial" w:cs="Arial"/>
          <w:color w:val="002060"/>
          <w:sz w:val="24"/>
          <w:szCs w:val="24"/>
        </w:rPr>
        <w:t>, d’exemples présentés par les animateurs, de séquences filmées illust</w:t>
      </w:r>
      <w:r w:rsidR="0001014D">
        <w:rPr>
          <w:rFonts w:ascii="Arial" w:eastAsia="Calibri" w:hAnsi="Arial" w:cs="Arial"/>
          <w:color w:val="002060"/>
          <w:sz w:val="24"/>
          <w:szCs w:val="24"/>
        </w:rPr>
        <w:t>rant certains types de défaillances</w:t>
      </w:r>
      <w:r w:rsidR="0001014D" w:rsidRPr="007662C3">
        <w:rPr>
          <w:rFonts w:ascii="Arial" w:eastAsia="Calibri" w:hAnsi="Arial" w:cs="Arial"/>
          <w:color w:val="002060"/>
          <w:sz w:val="24"/>
          <w:szCs w:val="24"/>
        </w:rPr>
        <w:t xml:space="preserve"> et d’ateliers de groupe animés à partir d</w:t>
      </w:r>
      <w:r w:rsidR="0001014D">
        <w:rPr>
          <w:rFonts w:ascii="Arial" w:eastAsia="Calibri" w:hAnsi="Arial" w:cs="Arial"/>
          <w:color w:val="002060"/>
          <w:sz w:val="24"/>
          <w:szCs w:val="24"/>
        </w:rPr>
        <w:t>e leur choix de processus</w:t>
      </w:r>
      <w:r w:rsidR="0001014D" w:rsidRPr="007662C3"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4D2D01" w:rsidRDefault="004D2D01" w:rsidP="00AD15C0">
      <w:pPr>
        <w:spacing w:before="100" w:beforeAutospacing="1" w:after="100" w:afterAutospacing="1"/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:rsidR="004D2D01" w:rsidRDefault="004D2D01" w:rsidP="00AD15C0">
      <w:pPr>
        <w:spacing w:before="100" w:beforeAutospacing="1" w:after="100" w:afterAutospacing="1"/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:rsidR="004D2D01" w:rsidRPr="003B554A" w:rsidRDefault="004D2D01" w:rsidP="004D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84273F">
        <w:rPr>
          <w:rFonts w:ascii="Arial" w:eastAsia="Calibri" w:hAnsi="Arial" w:cs="Arial"/>
          <w:b/>
          <w:color w:val="002060"/>
          <w:sz w:val="24"/>
          <w:szCs w:val="24"/>
        </w:rPr>
        <w:t>Méthodes de l’évaluation de l’action</w:t>
      </w:r>
    </w:p>
    <w:p w:rsidR="001F0CA1" w:rsidRPr="00781DB2" w:rsidRDefault="001F0CA1" w:rsidP="001F0CA1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  <w:color w:val="002060"/>
          <w:sz w:val="24"/>
          <w:szCs w:val="24"/>
        </w:rPr>
      </w:pPr>
      <w:r w:rsidRPr="00781DB2">
        <w:rPr>
          <w:rFonts w:ascii="Arial" w:hAnsi="Arial" w:cs="Arial"/>
          <w:b/>
          <w:color w:val="002060"/>
          <w:sz w:val="24"/>
          <w:szCs w:val="24"/>
        </w:rPr>
        <w:t>En amont de la formation,</w:t>
      </w:r>
      <w:r>
        <w:rPr>
          <w:rFonts w:ascii="Arial" w:hAnsi="Arial" w:cs="Arial"/>
          <w:color w:val="002060"/>
          <w:sz w:val="24"/>
          <w:szCs w:val="24"/>
        </w:rPr>
        <w:t xml:space="preserve"> un questionnaire est présenté</w:t>
      </w:r>
      <w:r w:rsidRPr="00781DB2">
        <w:rPr>
          <w:rFonts w:ascii="Arial" w:hAnsi="Arial" w:cs="Arial"/>
          <w:color w:val="002060"/>
          <w:sz w:val="24"/>
          <w:szCs w:val="24"/>
        </w:rPr>
        <w:t xml:space="preserve"> aux participants </w:t>
      </w:r>
      <w:r>
        <w:rPr>
          <w:rFonts w:ascii="Arial" w:hAnsi="Arial" w:cs="Arial"/>
          <w:color w:val="002060"/>
          <w:sz w:val="24"/>
          <w:szCs w:val="24"/>
        </w:rPr>
        <w:t xml:space="preserve">sur le livret de formation </w:t>
      </w:r>
      <w:r w:rsidRPr="00781DB2">
        <w:rPr>
          <w:rFonts w:ascii="Arial" w:hAnsi="Arial" w:cs="Arial"/>
          <w:color w:val="002060"/>
          <w:sz w:val="24"/>
          <w:szCs w:val="24"/>
        </w:rPr>
        <w:t>pour évaluer les pratiques et les méthodes en cours dans l’établiss</w:t>
      </w:r>
      <w:r>
        <w:rPr>
          <w:rFonts w:ascii="Arial" w:hAnsi="Arial" w:cs="Arial"/>
          <w:color w:val="002060"/>
          <w:sz w:val="24"/>
          <w:szCs w:val="24"/>
        </w:rPr>
        <w:t>ement dans le domaine du retour d’expérienc</w:t>
      </w:r>
      <w:r w:rsidR="002A2EB9">
        <w:rPr>
          <w:rFonts w:ascii="Arial" w:hAnsi="Arial" w:cs="Arial"/>
          <w:color w:val="002060"/>
          <w:sz w:val="24"/>
          <w:szCs w:val="24"/>
        </w:rPr>
        <w:t xml:space="preserve">e et de l’analyse </w:t>
      </w:r>
      <w:r w:rsidR="00D81312">
        <w:rPr>
          <w:rFonts w:ascii="Arial" w:hAnsi="Arial" w:cs="Arial"/>
          <w:color w:val="002060"/>
          <w:sz w:val="24"/>
          <w:szCs w:val="24"/>
        </w:rPr>
        <w:t>a priori des risques</w:t>
      </w:r>
      <w:r w:rsidRPr="00781DB2">
        <w:rPr>
          <w:rFonts w:ascii="Arial" w:hAnsi="Arial" w:cs="Arial"/>
          <w:color w:val="002060"/>
          <w:sz w:val="24"/>
          <w:szCs w:val="24"/>
        </w:rPr>
        <w:t xml:space="preserve">. </w:t>
      </w:r>
    </w:p>
    <w:p w:rsidR="001F0CA1" w:rsidRPr="00781DB2" w:rsidRDefault="001F0CA1" w:rsidP="001F0CA1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color w:val="002060"/>
          <w:sz w:val="24"/>
          <w:szCs w:val="24"/>
        </w:rPr>
      </w:pPr>
      <w:r w:rsidRPr="00781DB2">
        <w:rPr>
          <w:rFonts w:ascii="Arial" w:hAnsi="Arial" w:cs="Arial"/>
          <w:b/>
          <w:color w:val="002060"/>
          <w:sz w:val="24"/>
          <w:szCs w:val="24"/>
        </w:rPr>
        <w:t>La formation</w:t>
      </w:r>
      <w:r w:rsidRPr="00781DB2">
        <w:rPr>
          <w:rFonts w:ascii="Arial" w:hAnsi="Arial" w:cs="Arial"/>
          <w:color w:val="002060"/>
          <w:sz w:val="24"/>
          <w:szCs w:val="24"/>
        </w:rPr>
        <w:t xml:space="preserve"> est réalisée conformément au programme ci-dessous. A l’issue de la formation une évaluation permet de mesurer les acquis.</w:t>
      </w:r>
    </w:p>
    <w:p w:rsidR="001F0CA1" w:rsidRPr="00781DB2" w:rsidRDefault="001F0CA1" w:rsidP="001F0CA1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color w:val="002060"/>
          <w:sz w:val="24"/>
          <w:szCs w:val="24"/>
          <w:u w:val="single"/>
        </w:rPr>
      </w:pPr>
      <w:r w:rsidRPr="00781DB2">
        <w:rPr>
          <w:rFonts w:ascii="Arial" w:hAnsi="Arial" w:cs="Arial"/>
          <w:b/>
          <w:color w:val="002060"/>
          <w:sz w:val="24"/>
          <w:szCs w:val="24"/>
        </w:rPr>
        <w:t>Trois mois ou plus après la formation</w:t>
      </w:r>
      <w:r>
        <w:rPr>
          <w:rFonts w:ascii="Arial" w:hAnsi="Arial" w:cs="Arial"/>
          <w:color w:val="002060"/>
          <w:sz w:val="24"/>
          <w:szCs w:val="24"/>
        </w:rPr>
        <w:t xml:space="preserve">, chaque participant actualise les </w:t>
      </w:r>
      <w:r w:rsidRPr="001341C6">
        <w:rPr>
          <w:rFonts w:ascii="Arial" w:hAnsi="Arial" w:cs="Arial"/>
          <w:color w:val="002060"/>
          <w:sz w:val="24"/>
          <w:szCs w:val="24"/>
        </w:rPr>
        <w:t xml:space="preserve">réponses apportées au questionnaire en amont ; l’objet est d’observer une évolution au travers d’une </w:t>
      </w:r>
      <w:r>
        <w:rPr>
          <w:rFonts w:ascii="Arial" w:hAnsi="Arial" w:cs="Arial"/>
          <w:color w:val="002060"/>
          <w:sz w:val="24"/>
          <w:szCs w:val="24"/>
        </w:rPr>
        <w:t xml:space="preserve">nouvelle évaluation des pratiques, d’effectuer </w:t>
      </w:r>
      <w:r w:rsidRPr="00781DB2">
        <w:rPr>
          <w:rFonts w:ascii="Arial" w:hAnsi="Arial" w:cs="Arial"/>
          <w:color w:val="002060"/>
          <w:sz w:val="24"/>
          <w:szCs w:val="24"/>
        </w:rPr>
        <w:t xml:space="preserve">un bilan </w:t>
      </w:r>
      <w:r>
        <w:rPr>
          <w:rFonts w:ascii="Arial" w:hAnsi="Arial" w:cs="Arial"/>
          <w:color w:val="002060"/>
          <w:sz w:val="24"/>
          <w:szCs w:val="24"/>
        </w:rPr>
        <w:t>des  acquis et de la mise en œuvre de la méthode.</w:t>
      </w:r>
    </w:p>
    <w:p w:rsidR="003463ED" w:rsidRPr="006E7355" w:rsidRDefault="003463ED" w:rsidP="003463E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</w:p>
    <w:p w:rsidR="004D2D01" w:rsidRPr="00FD1FC6" w:rsidRDefault="004D2D01" w:rsidP="004D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002060"/>
        </w:rPr>
      </w:pPr>
      <w:r w:rsidRPr="0084273F">
        <w:rPr>
          <w:rFonts w:ascii="Arial" w:eastAsia="Calibri" w:hAnsi="Arial" w:cs="Arial"/>
          <w:b/>
          <w:color w:val="002060"/>
        </w:rPr>
        <w:t>Références, recommandations, bibliographies utilisées dans le cadre de l’action</w:t>
      </w:r>
    </w:p>
    <w:p w:rsidR="004D2D01" w:rsidRPr="00686B0F" w:rsidRDefault="004D2D01" w:rsidP="004D2D01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Guide HAS / Juillet 2011 / page 92</w:t>
      </w:r>
    </w:p>
    <w:p w:rsidR="004D2D01" w:rsidRPr="00686B0F" w:rsidRDefault="004D2D01" w:rsidP="004D2D01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Décret du 12 novembre 2010 : Lutte contre les événements indésirables associés aux soins</w:t>
      </w:r>
    </w:p>
    <w:p w:rsidR="004D2D01" w:rsidRPr="00686B0F" w:rsidRDefault="004D2D01" w:rsidP="004D2D01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Guide Gestion des Risques : Amélioration des pratiques et sécurité des soins fiche 25 et 26</w:t>
      </w:r>
    </w:p>
    <w:p w:rsidR="004D2D01" w:rsidRPr="00686B0F" w:rsidRDefault="004D2D01" w:rsidP="004D2D01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Certification V2010 critère 8d</w:t>
      </w:r>
    </w:p>
    <w:p w:rsidR="004D2D01" w:rsidRPr="00686B0F" w:rsidRDefault="004D2D01" w:rsidP="004D2D01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Certification V2014 : Le compte qualité HAS – approcha par Thématique</w:t>
      </w:r>
    </w:p>
    <w:p w:rsidR="004D2D01" w:rsidRPr="00686B0F" w:rsidRDefault="004D2D01" w:rsidP="004D2D01">
      <w:pPr>
        <w:pStyle w:val="Paragraphedeliste"/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Guide HAS 24 mai 2017 approche par Thématique</w:t>
      </w:r>
      <w:r>
        <w:rPr>
          <w:rFonts w:ascii="Arial" w:eastAsia="Calibri" w:hAnsi="Arial" w:cs="Arial"/>
          <w:b/>
          <w:color w:val="002060"/>
          <w:sz w:val="24"/>
          <w:szCs w:val="24"/>
        </w:rPr>
        <w:t xml:space="preserve"> – décision n° 2017</w:t>
      </w:r>
    </w:p>
    <w:p w:rsidR="006E7355" w:rsidRDefault="006E7355" w:rsidP="003463ED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</w:p>
    <w:p w:rsidR="004D2D01" w:rsidRDefault="004D2D01" w:rsidP="004D2D01">
      <w:p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4D2D01" w:rsidRPr="0084273F" w:rsidRDefault="004D2D01" w:rsidP="004D2D0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4273F">
        <w:rPr>
          <w:rFonts w:ascii="Arial" w:hAnsi="Arial" w:cs="Arial"/>
        </w:rPr>
        <w:t>Woynar</w:t>
      </w:r>
      <w:proofErr w:type="spellEnd"/>
      <w:r w:rsidRPr="0084273F">
        <w:rPr>
          <w:rFonts w:ascii="Arial" w:hAnsi="Arial" w:cs="Arial"/>
        </w:rPr>
        <w:t xml:space="preserve"> S, Debouck F, Cellier P, </w:t>
      </w:r>
      <w:proofErr w:type="spellStart"/>
      <w:r w:rsidRPr="0084273F">
        <w:rPr>
          <w:rFonts w:ascii="Arial" w:hAnsi="Arial" w:cs="Arial"/>
        </w:rPr>
        <w:t>Bourhis</w:t>
      </w:r>
      <w:proofErr w:type="spellEnd"/>
      <w:r w:rsidRPr="0084273F">
        <w:rPr>
          <w:rFonts w:ascii="Arial" w:hAnsi="Arial" w:cs="Arial"/>
        </w:rPr>
        <w:t xml:space="preserve"> J, </w:t>
      </w:r>
      <w:proofErr w:type="spellStart"/>
      <w:r w:rsidRPr="0084273F">
        <w:rPr>
          <w:rFonts w:ascii="Arial" w:hAnsi="Arial" w:cs="Arial"/>
        </w:rPr>
        <w:t>Cauterman</w:t>
      </w:r>
      <w:proofErr w:type="spellEnd"/>
      <w:r w:rsidRPr="0084273F">
        <w:rPr>
          <w:rFonts w:ascii="Arial" w:hAnsi="Arial" w:cs="Arial"/>
        </w:rPr>
        <w:t xml:space="preserve"> M, </w:t>
      </w:r>
      <w:proofErr w:type="spellStart"/>
      <w:r w:rsidRPr="0084273F">
        <w:rPr>
          <w:rFonts w:ascii="Arial" w:hAnsi="Arial" w:cs="Arial"/>
        </w:rPr>
        <w:t>Lartigau</w:t>
      </w:r>
      <w:proofErr w:type="spellEnd"/>
      <w:r w:rsidRPr="0084273F">
        <w:rPr>
          <w:rFonts w:ascii="Arial" w:hAnsi="Arial" w:cs="Arial"/>
        </w:rPr>
        <w:t xml:space="preserve"> E. « Vers une politique sécurité » en oncologie radiothérapie. La mise en  œuvre du retour d’expérience » Cancer </w:t>
      </w:r>
      <w:proofErr w:type="spellStart"/>
      <w:r w:rsidRPr="0084273F">
        <w:rPr>
          <w:rFonts w:ascii="Arial" w:hAnsi="Arial" w:cs="Arial"/>
        </w:rPr>
        <w:t>Radiother</w:t>
      </w:r>
      <w:proofErr w:type="spellEnd"/>
      <w:r w:rsidRPr="0084273F">
        <w:rPr>
          <w:rFonts w:ascii="Arial" w:hAnsi="Arial" w:cs="Arial"/>
        </w:rPr>
        <w:t xml:space="preserve"> 2007;11:320–32.</w:t>
      </w:r>
    </w:p>
    <w:p w:rsidR="004D2D01" w:rsidRPr="0084273F" w:rsidRDefault="004D2D01" w:rsidP="004D2D01">
      <w:pPr>
        <w:spacing w:after="0"/>
        <w:jc w:val="both"/>
        <w:rPr>
          <w:rFonts w:ascii="Arial" w:hAnsi="Arial" w:cs="Arial"/>
        </w:rPr>
      </w:pPr>
    </w:p>
    <w:p w:rsidR="004D2D01" w:rsidRPr="0084273F" w:rsidRDefault="004D2D01" w:rsidP="004D2D0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84273F">
        <w:rPr>
          <w:rFonts w:ascii="Arial" w:hAnsi="Arial" w:cs="Arial"/>
        </w:rPr>
        <w:t>Debouck F, Petit H « Système de management de la qualité en Oncologie Radiothérapie : du transport aérien vers le monde médical », Hôpitaux magazine, avril 2008</w:t>
      </w:r>
    </w:p>
    <w:p w:rsidR="004D2D01" w:rsidRPr="0084273F" w:rsidRDefault="004D2D01" w:rsidP="004D2D01">
      <w:pPr>
        <w:spacing w:after="0"/>
        <w:jc w:val="both"/>
        <w:rPr>
          <w:rFonts w:ascii="Arial" w:hAnsi="Arial" w:cs="Arial"/>
        </w:rPr>
      </w:pPr>
    </w:p>
    <w:p w:rsidR="004D2D01" w:rsidRPr="0084273F" w:rsidRDefault="004D2D01" w:rsidP="004D2D0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4273F">
        <w:rPr>
          <w:rFonts w:ascii="Arial" w:hAnsi="Arial" w:cs="Arial"/>
        </w:rPr>
        <w:t>Lartigau</w:t>
      </w:r>
      <w:proofErr w:type="spellEnd"/>
      <w:r w:rsidRPr="0084273F">
        <w:rPr>
          <w:rFonts w:ascii="Arial" w:hAnsi="Arial" w:cs="Arial"/>
        </w:rPr>
        <w:t xml:space="preserve"> E, </w:t>
      </w:r>
      <w:proofErr w:type="spellStart"/>
      <w:r w:rsidRPr="0084273F">
        <w:rPr>
          <w:rFonts w:ascii="Arial" w:hAnsi="Arial" w:cs="Arial"/>
        </w:rPr>
        <w:t>Vitoux</w:t>
      </w:r>
      <w:proofErr w:type="spellEnd"/>
      <w:r w:rsidRPr="0084273F">
        <w:rPr>
          <w:rFonts w:ascii="Arial" w:hAnsi="Arial" w:cs="Arial"/>
        </w:rPr>
        <w:t xml:space="preserve"> A, Debouck F. « </w:t>
      </w:r>
      <w:proofErr w:type="spellStart"/>
      <w:r w:rsidRPr="0084273F">
        <w:rPr>
          <w:rFonts w:ascii="Arial" w:hAnsi="Arial" w:cs="Arial"/>
        </w:rPr>
        <w:t>Crex</w:t>
      </w:r>
      <w:proofErr w:type="spellEnd"/>
      <w:r w:rsidRPr="0084273F">
        <w:rPr>
          <w:rFonts w:ascii="Arial" w:hAnsi="Arial" w:cs="Arial"/>
        </w:rPr>
        <w:t xml:space="preserve"> et analyse Orion en radiothérapie : vers une mutualisation des actions correctives </w:t>
      </w:r>
      <w:proofErr w:type="gramStart"/>
      <w:r w:rsidRPr="0084273F">
        <w:rPr>
          <w:rFonts w:ascii="Arial" w:hAnsi="Arial" w:cs="Arial"/>
        </w:rPr>
        <w:t>» .</w:t>
      </w:r>
      <w:proofErr w:type="gramEnd"/>
      <w:r w:rsidRPr="0084273F">
        <w:rPr>
          <w:rFonts w:ascii="Arial" w:hAnsi="Arial" w:cs="Arial"/>
        </w:rPr>
        <w:t xml:space="preserve"> Cancer </w:t>
      </w:r>
      <w:proofErr w:type="spellStart"/>
      <w:r w:rsidRPr="0084273F">
        <w:rPr>
          <w:rFonts w:ascii="Arial" w:hAnsi="Arial" w:cs="Arial"/>
        </w:rPr>
        <w:t>Radiother</w:t>
      </w:r>
      <w:proofErr w:type="spellEnd"/>
      <w:r w:rsidRPr="0084273F">
        <w:rPr>
          <w:rFonts w:ascii="Arial" w:hAnsi="Arial" w:cs="Arial"/>
        </w:rPr>
        <w:t xml:space="preserve"> 2009; 458-460.</w:t>
      </w:r>
    </w:p>
    <w:p w:rsidR="004D2D01" w:rsidRPr="0084273F" w:rsidRDefault="004D2D01" w:rsidP="004D2D01">
      <w:pPr>
        <w:spacing w:after="0"/>
        <w:jc w:val="both"/>
        <w:rPr>
          <w:rFonts w:ascii="Arial" w:hAnsi="Arial" w:cs="Arial"/>
        </w:rPr>
      </w:pPr>
    </w:p>
    <w:p w:rsidR="004D2D01" w:rsidRPr="00686B0F" w:rsidRDefault="004D2D01" w:rsidP="004D2D0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84273F">
        <w:rPr>
          <w:rFonts w:ascii="Arial" w:hAnsi="Arial" w:cs="Arial"/>
        </w:rPr>
        <w:t xml:space="preserve">Debouck F, Petit H-B, </w:t>
      </w:r>
      <w:proofErr w:type="spellStart"/>
      <w:r w:rsidRPr="0084273F">
        <w:rPr>
          <w:rFonts w:ascii="Arial" w:hAnsi="Arial" w:cs="Arial"/>
        </w:rPr>
        <w:t>Lartigau</w:t>
      </w:r>
      <w:proofErr w:type="spellEnd"/>
      <w:r w:rsidRPr="0084273F">
        <w:rPr>
          <w:rFonts w:ascii="Arial" w:hAnsi="Arial" w:cs="Arial"/>
        </w:rPr>
        <w:t xml:space="preserve"> E  « De la mutualisation des comités de retour d’expérience (CREX) à l’audit des pratiques cliniques » </w:t>
      </w:r>
      <w:r w:rsidRPr="0084273F">
        <w:rPr>
          <w:rFonts w:ascii="Arial" w:hAnsi="Arial" w:cs="Arial"/>
          <w:color w:val="000000"/>
        </w:rPr>
        <w:t xml:space="preserve">Cancer </w:t>
      </w:r>
      <w:proofErr w:type="spellStart"/>
      <w:r w:rsidRPr="0084273F">
        <w:rPr>
          <w:rFonts w:ascii="Arial" w:hAnsi="Arial" w:cs="Arial"/>
          <w:color w:val="000000"/>
        </w:rPr>
        <w:t>Radiother</w:t>
      </w:r>
      <w:proofErr w:type="spellEnd"/>
      <w:r w:rsidRPr="0084273F">
        <w:rPr>
          <w:rFonts w:ascii="Arial" w:hAnsi="Arial" w:cs="Arial"/>
          <w:color w:val="000000"/>
        </w:rPr>
        <w:t xml:space="preserve"> 2010; 571-575</w:t>
      </w:r>
    </w:p>
    <w:p w:rsidR="004D2D01" w:rsidRPr="0084273F" w:rsidRDefault="004D2D01" w:rsidP="004D2D01">
      <w:pPr>
        <w:spacing w:after="0"/>
        <w:jc w:val="both"/>
        <w:rPr>
          <w:rFonts w:ascii="Arial" w:hAnsi="Arial" w:cs="Arial"/>
        </w:rPr>
      </w:pPr>
    </w:p>
    <w:p w:rsidR="00FD01F6" w:rsidRPr="004D2D01" w:rsidRDefault="004D2D01" w:rsidP="0005368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84273F">
        <w:rPr>
          <w:rFonts w:ascii="Arial" w:hAnsi="Arial" w:cs="Arial"/>
        </w:rPr>
        <w:t xml:space="preserve">Debouck F, </w:t>
      </w:r>
      <w:proofErr w:type="spellStart"/>
      <w:r w:rsidRPr="0084273F">
        <w:rPr>
          <w:rFonts w:ascii="Arial" w:hAnsi="Arial" w:cs="Arial"/>
        </w:rPr>
        <w:t>Rieger</w:t>
      </w:r>
      <w:proofErr w:type="spellEnd"/>
      <w:r w:rsidRPr="0084273F">
        <w:rPr>
          <w:rFonts w:ascii="Arial" w:hAnsi="Arial" w:cs="Arial"/>
        </w:rPr>
        <w:t xml:space="preserve"> E, Petit H, Noël G., Ravinet L « Méthode ORION : analyse systémique simple et efficace des événements cliniques et des précurseurs survenant en pratique médicale hospitalière »</w:t>
      </w:r>
      <w:r w:rsidRPr="0084273F">
        <w:rPr>
          <w:rFonts w:ascii="Arial" w:hAnsi="Arial" w:cs="Arial"/>
          <w:color w:val="000000"/>
        </w:rPr>
        <w:t xml:space="preserve"> Can</w:t>
      </w:r>
      <w:r>
        <w:rPr>
          <w:rFonts w:ascii="Arial" w:hAnsi="Arial" w:cs="Arial"/>
          <w:color w:val="000000"/>
        </w:rPr>
        <w:t xml:space="preserve">cer </w:t>
      </w:r>
      <w:proofErr w:type="spellStart"/>
      <w:r>
        <w:rPr>
          <w:rFonts w:ascii="Arial" w:hAnsi="Arial" w:cs="Arial"/>
          <w:color w:val="000000"/>
        </w:rPr>
        <w:t>Radiother</w:t>
      </w:r>
      <w:proofErr w:type="spellEnd"/>
      <w:r>
        <w:rPr>
          <w:rFonts w:ascii="Arial" w:hAnsi="Arial" w:cs="Arial"/>
          <w:color w:val="000000"/>
        </w:rPr>
        <w:t xml:space="preserve"> 16(2012) ; 201-208</w:t>
      </w:r>
    </w:p>
    <w:sectPr w:rsidR="00FD01F6" w:rsidRPr="004D2D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BB" w:rsidRDefault="00AB26BB" w:rsidP="00206E78">
      <w:pPr>
        <w:spacing w:after="0" w:line="240" w:lineRule="auto"/>
      </w:pPr>
      <w:r>
        <w:separator/>
      </w:r>
    </w:p>
  </w:endnote>
  <w:endnote w:type="continuationSeparator" w:id="0">
    <w:p w:rsidR="00AB26BB" w:rsidRDefault="00AB26BB" w:rsidP="0020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827039"/>
      <w:docPartObj>
        <w:docPartGallery w:val="Page Numbers (Bottom of Page)"/>
        <w:docPartUnique/>
      </w:docPartObj>
    </w:sdtPr>
    <w:sdtEndPr/>
    <w:sdtContent>
      <w:p w:rsidR="00FD01F6" w:rsidRDefault="00FD01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FFC">
          <w:rPr>
            <w:noProof/>
          </w:rPr>
          <w:t>1</w:t>
        </w:r>
        <w:r>
          <w:fldChar w:fldCharType="end"/>
        </w:r>
      </w:p>
    </w:sdtContent>
  </w:sdt>
  <w:p w:rsidR="001B3278" w:rsidRDefault="00ED758F" w:rsidP="001B3278">
    <w:pPr>
      <w:spacing w:after="0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t>V-01</w:t>
    </w:r>
    <w:r w:rsidR="000A7FFC">
      <w:t xml:space="preserve"> 03/01/2019</w:t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 xml:space="preserve"> N° SIRET: 498 906 106 00022   Code APE : 7022 Z </w:t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 xml:space="preserve"> –</w:t>
    </w:r>
  </w:p>
  <w:p w:rsidR="001B3278" w:rsidRDefault="001B3278" w:rsidP="001B3278">
    <w:pPr>
      <w:spacing w:after="0"/>
      <w:jc w:val="right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 xml:space="preserve"> N° de déclaration d’activité de formation : </w:t>
    </w:r>
    <w:r>
      <w:rPr>
        <w:rFonts w:ascii="Arial" w:eastAsia="Times New Roman" w:hAnsi="Arial" w:cs="Arial"/>
        <w:b/>
        <w:color w:val="A6A6A6" w:themeColor="background1" w:themeShade="A6"/>
        <w:sz w:val="16"/>
        <w:szCs w:val="16"/>
        <w:lang w:eastAsia="fr-FR"/>
      </w:rPr>
      <w:t>11 78 80570 78</w:t>
    </w:r>
  </w:p>
  <w:p w:rsidR="001B3278" w:rsidRDefault="001B3278" w:rsidP="001B3278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>Immatriculation RC: 2007 B 02638 (VERSAILLES) le 4/07/2007</w:t>
    </w:r>
  </w:p>
  <w:p w:rsidR="001B3278" w:rsidRDefault="001B3278" w:rsidP="001B3278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b/>
        <w:bCs/>
        <w:color w:val="A6A6A6" w:themeColor="background1" w:themeShade="A6"/>
        <w:sz w:val="16"/>
        <w:szCs w:val="16"/>
        <w:lang w:eastAsia="fr-FR"/>
      </w:rPr>
      <w:t xml:space="preserve">AFM42 : </w:t>
    </w: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>c/o Cabinet Martin 97 rue Pereire 78105 Saint Germain en Laye CEDEX</w:t>
    </w:r>
  </w:p>
  <w:p w:rsidR="001B3278" w:rsidRDefault="001B3278" w:rsidP="00C40735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b/>
        <w:bCs/>
        <w:color w:val="A6A6A6" w:themeColor="background1" w:themeShade="A6"/>
        <w:sz w:val="16"/>
        <w:szCs w:val="16"/>
        <w:lang w:eastAsia="fr-FR"/>
      </w:rPr>
      <w:t xml:space="preserve">Adresse postale : AFM42 </w:t>
    </w:r>
    <w:r w:rsidR="00C40735"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  <w:t>C/0 Patricia Fontaine 33 rue du Plessis 77340 Pontault-Combault</w:t>
    </w:r>
  </w:p>
  <w:p w:rsidR="00FD01F6" w:rsidRDefault="00FD01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BB" w:rsidRDefault="00AB26BB" w:rsidP="00206E78">
      <w:pPr>
        <w:spacing w:after="0" w:line="240" w:lineRule="auto"/>
      </w:pPr>
      <w:r>
        <w:separator/>
      </w:r>
    </w:p>
  </w:footnote>
  <w:footnote w:type="continuationSeparator" w:id="0">
    <w:p w:rsidR="00AB26BB" w:rsidRDefault="00AB26BB" w:rsidP="0020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F6" w:rsidRDefault="00FD01F6">
    <w:pPr>
      <w:pStyle w:val="En-tte"/>
    </w:pPr>
    <w:r>
      <w:tab/>
    </w:r>
    <w:r>
      <w:tab/>
    </w:r>
    <w:r>
      <w:rPr>
        <w:noProof/>
        <w:lang w:eastAsia="fr-FR"/>
      </w:rPr>
      <w:drawing>
        <wp:inline distT="0" distB="0" distL="0" distR="0" wp14:anchorId="734F751E" wp14:editId="4A4CF982">
          <wp:extent cx="2209800" cy="5143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FCB"/>
    <w:multiLevelType w:val="hybridMultilevel"/>
    <w:tmpl w:val="CFF0BC42"/>
    <w:lvl w:ilvl="0" w:tplc="C7C0BA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066"/>
    <w:multiLevelType w:val="hybridMultilevel"/>
    <w:tmpl w:val="52B8ECC6"/>
    <w:lvl w:ilvl="0" w:tplc="CC1A8C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F6953"/>
    <w:multiLevelType w:val="hybridMultilevel"/>
    <w:tmpl w:val="5CCC6A14"/>
    <w:lvl w:ilvl="0" w:tplc="97D2FA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2D26"/>
    <w:multiLevelType w:val="hybridMultilevel"/>
    <w:tmpl w:val="9B709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22479"/>
    <w:multiLevelType w:val="hybridMultilevel"/>
    <w:tmpl w:val="A66E385A"/>
    <w:lvl w:ilvl="0" w:tplc="B5D41A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C5444"/>
    <w:multiLevelType w:val="hybridMultilevel"/>
    <w:tmpl w:val="ECA87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F3D99"/>
    <w:multiLevelType w:val="hybridMultilevel"/>
    <w:tmpl w:val="C708369A"/>
    <w:lvl w:ilvl="0" w:tplc="12D00F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2670C"/>
    <w:multiLevelType w:val="hybridMultilevel"/>
    <w:tmpl w:val="FC9CB424"/>
    <w:lvl w:ilvl="0" w:tplc="F2787C2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05524"/>
    <w:multiLevelType w:val="hybridMultilevel"/>
    <w:tmpl w:val="70CCCBE8"/>
    <w:lvl w:ilvl="0" w:tplc="ECB2E9B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35BDF"/>
    <w:multiLevelType w:val="multilevel"/>
    <w:tmpl w:val="6F0C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D1051E"/>
    <w:multiLevelType w:val="hybridMultilevel"/>
    <w:tmpl w:val="A1526260"/>
    <w:lvl w:ilvl="0" w:tplc="4864B38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12B4F"/>
    <w:multiLevelType w:val="hybridMultilevel"/>
    <w:tmpl w:val="57585936"/>
    <w:lvl w:ilvl="0" w:tplc="3C3E87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9108E"/>
    <w:multiLevelType w:val="hybridMultilevel"/>
    <w:tmpl w:val="8DBCDC24"/>
    <w:lvl w:ilvl="0" w:tplc="4594A3D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5807E7"/>
    <w:multiLevelType w:val="hybridMultilevel"/>
    <w:tmpl w:val="D3840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85DD4"/>
    <w:multiLevelType w:val="multilevel"/>
    <w:tmpl w:val="6106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2D5E0B"/>
    <w:multiLevelType w:val="hybridMultilevel"/>
    <w:tmpl w:val="43242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863EB"/>
    <w:multiLevelType w:val="hybridMultilevel"/>
    <w:tmpl w:val="391E82A4"/>
    <w:lvl w:ilvl="0" w:tplc="75F2395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773C5"/>
    <w:multiLevelType w:val="hybridMultilevel"/>
    <w:tmpl w:val="DED2C12A"/>
    <w:lvl w:ilvl="0" w:tplc="DCCC2C6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1039"/>
    <w:multiLevelType w:val="hybridMultilevel"/>
    <w:tmpl w:val="B0D8CC88"/>
    <w:lvl w:ilvl="0" w:tplc="9C2CC0B0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50433"/>
    <w:multiLevelType w:val="hybridMultilevel"/>
    <w:tmpl w:val="A4DAD3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D55C5C"/>
    <w:multiLevelType w:val="multilevel"/>
    <w:tmpl w:val="FDFE8C9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6420E2"/>
    <w:multiLevelType w:val="multilevel"/>
    <w:tmpl w:val="4E50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751C33"/>
    <w:multiLevelType w:val="hybridMultilevel"/>
    <w:tmpl w:val="A2DC5EE2"/>
    <w:lvl w:ilvl="0" w:tplc="6FDCCDF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21"/>
  </w:num>
  <w:num w:numId="5">
    <w:abstractNumId w:val="5"/>
  </w:num>
  <w:num w:numId="6">
    <w:abstractNumId w:val="3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4"/>
  </w:num>
  <w:num w:numId="12">
    <w:abstractNumId w:val="7"/>
  </w:num>
  <w:num w:numId="13">
    <w:abstractNumId w:val="22"/>
  </w:num>
  <w:num w:numId="14">
    <w:abstractNumId w:val="18"/>
  </w:num>
  <w:num w:numId="15">
    <w:abstractNumId w:val="11"/>
  </w:num>
  <w:num w:numId="16">
    <w:abstractNumId w:val="17"/>
  </w:num>
  <w:num w:numId="17">
    <w:abstractNumId w:val="8"/>
  </w:num>
  <w:num w:numId="18">
    <w:abstractNumId w:val="16"/>
  </w:num>
  <w:num w:numId="19">
    <w:abstractNumId w:val="10"/>
  </w:num>
  <w:num w:numId="20">
    <w:abstractNumId w:val="0"/>
  </w:num>
  <w:num w:numId="21">
    <w:abstractNumId w:val="6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D"/>
    <w:rsid w:val="000008EE"/>
    <w:rsid w:val="0001014D"/>
    <w:rsid w:val="00014420"/>
    <w:rsid w:val="00024A9A"/>
    <w:rsid w:val="00041D81"/>
    <w:rsid w:val="0004375A"/>
    <w:rsid w:val="00053680"/>
    <w:rsid w:val="00062398"/>
    <w:rsid w:val="00090188"/>
    <w:rsid w:val="000A7FFC"/>
    <w:rsid w:val="000B5E7B"/>
    <w:rsid w:val="000B7206"/>
    <w:rsid w:val="000C4D95"/>
    <w:rsid w:val="001371C6"/>
    <w:rsid w:val="00154827"/>
    <w:rsid w:val="00195F31"/>
    <w:rsid w:val="001B3278"/>
    <w:rsid w:val="001E4B52"/>
    <w:rsid w:val="001E5282"/>
    <w:rsid w:val="001F0CA1"/>
    <w:rsid w:val="00206E78"/>
    <w:rsid w:val="00277C00"/>
    <w:rsid w:val="00283AC1"/>
    <w:rsid w:val="002A2EB9"/>
    <w:rsid w:val="002A5B08"/>
    <w:rsid w:val="002B515C"/>
    <w:rsid w:val="002C1098"/>
    <w:rsid w:val="003463ED"/>
    <w:rsid w:val="00371439"/>
    <w:rsid w:val="003C15EB"/>
    <w:rsid w:val="0041189E"/>
    <w:rsid w:val="004403FE"/>
    <w:rsid w:val="00453281"/>
    <w:rsid w:val="00473181"/>
    <w:rsid w:val="004B58C2"/>
    <w:rsid w:val="004D2D01"/>
    <w:rsid w:val="00516A23"/>
    <w:rsid w:val="0058298C"/>
    <w:rsid w:val="005E6175"/>
    <w:rsid w:val="005F35A3"/>
    <w:rsid w:val="005F6336"/>
    <w:rsid w:val="00663AB3"/>
    <w:rsid w:val="00673A61"/>
    <w:rsid w:val="006762B4"/>
    <w:rsid w:val="006A3CEA"/>
    <w:rsid w:val="006E7355"/>
    <w:rsid w:val="00724A80"/>
    <w:rsid w:val="00750B60"/>
    <w:rsid w:val="007662C3"/>
    <w:rsid w:val="007900D7"/>
    <w:rsid w:val="00796F84"/>
    <w:rsid w:val="007B76B8"/>
    <w:rsid w:val="007F0154"/>
    <w:rsid w:val="0085014B"/>
    <w:rsid w:val="008A1B8F"/>
    <w:rsid w:val="008A6698"/>
    <w:rsid w:val="008C72CD"/>
    <w:rsid w:val="00941BF0"/>
    <w:rsid w:val="009C7F09"/>
    <w:rsid w:val="00A833ED"/>
    <w:rsid w:val="00AB26BB"/>
    <w:rsid w:val="00AC450B"/>
    <w:rsid w:val="00AD15C0"/>
    <w:rsid w:val="00AF2D93"/>
    <w:rsid w:val="00B504AD"/>
    <w:rsid w:val="00B57012"/>
    <w:rsid w:val="00C404E1"/>
    <w:rsid w:val="00C40735"/>
    <w:rsid w:val="00C41960"/>
    <w:rsid w:val="00C75912"/>
    <w:rsid w:val="00C914FE"/>
    <w:rsid w:val="00CA669E"/>
    <w:rsid w:val="00D1091D"/>
    <w:rsid w:val="00D2644F"/>
    <w:rsid w:val="00D33DCC"/>
    <w:rsid w:val="00D45E4D"/>
    <w:rsid w:val="00D81312"/>
    <w:rsid w:val="00D82B1F"/>
    <w:rsid w:val="00E07FE3"/>
    <w:rsid w:val="00E10F99"/>
    <w:rsid w:val="00E126A3"/>
    <w:rsid w:val="00E25741"/>
    <w:rsid w:val="00E579DC"/>
    <w:rsid w:val="00EA08C7"/>
    <w:rsid w:val="00ED758F"/>
    <w:rsid w:val="00EE6639"/>
    <w:rsid w:val="00F138F7"/>
    <w:rsid w:val="00F277BC"/>
    <w:rsid w:val="00F760F6"/>
    <w:rsid w:val="00FA2AED"/>
    <w:rsid w:val="00F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3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E78"/>
  </w:style>
  <w:style w:type="paragraph" w:styleId="Pieddepage">
    <w:name w:val="footer"/>
    <w:basedOn w:val="Normal"/>
    <w:link w:val="Pieddepag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E78"/>
  </w:style>
  <w:style w:type="paragraph" w:styleId="Textedebulles">
    <w:name w:val="Balloon Text"/>
    <w:basedOn w:val="Normal"/>
    <w:link w:val="TextedebullesCar"/>
    <w:uiPriority w:val="99"/>
    <w:semiHidden/>
    <w:unhideWhenUsed/>
    <w:rsid w:val="0020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3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E78"/>
  </w:style>
  <w:style w:type="paragraph" w:styleId="Pieddepage">
    <w:name w:val="footer"/>
    <w:basedOn w:val="Normal"/>
    <w:link w:val="Pieddepag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E78"/>
  </w:style>
  <w:style w:type="paragraph" w:styleId="Textedebulles">
    <w:name w:val="Balloon Text"/>
    <w:basedOn w:val="Normal"/>
    <w:link w:val="TextedebullesCar"/>
    <w:uiPriority w:val="99"/>
    <w:semiHidden/>
    <w:unhideWhenUsed/>
    <w:rsid w:val="0020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86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7671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Nilgiri Conseil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Debouck Frank</dc:creator>
  <cp:lastModifiedBy>HENRI BERTRAND</cp:lastModifiedBy>
  <cp:revision>4</cp:revision>
  <cp:lastPrinted>2016-02-04T15:40:00Z</cp:lastPrinted>
  <dcterms:created xsi:type="dcterms:W3CDTF">2017-09-14T08:40:00Z</dcterms:created>
  <dcterms:modified xsi:type="dcterms:W3CDTF">2018-11-06T17:30:00Z</dcterms:modified>
</cp:coreProperties>
</file>