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F7" w:rsidRDefault="00F138F7" w:rsidP="00346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38F7" w:rsidTr="00F138F7">
        <w:trPr>
          <w:trHeight w:val="1470"/>
        </w:trPr>
        <w:tc>
          <w:tcPr>
            <w:tcW w:w="9212" w:type="dxa"/>
            <w:shd w:val="clear" w:color="auto" w:fill="F2F2F2" w:themeFill="background1" w:themeFillShade="F2"/>
          </w:tcPr>
          <w:p w:rsidR="00FC11F1" w:rsidRDefault="000666BD" w:rsidP="00FC11F1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fr-FR"/>
              </w:rPr>
              <w:t>D</w:t>
            </w:r>
            <w:r w:rsidR="00FC11F1"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fr-FR"/>
              </w:rPr>
              <w:t>évelopper la culture sécurité </w:t>
            </w:r>
          </w:p>
          <w:p w:rsidR="00F138F7" w:rsidRPr="00993E4D" w:rsidRDefault="000666BD" w:rsidP="00FC11F1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fr-FR"/>
              </w:rPr>
              <w:t>CREX ou RMM, et l’analyse systémique ORION ou ALARM</w:t>
            </w:r>
            <w:r w:rsidR="0064525E"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fr-FR"/>
              </w:rPr>
              <w:t>E</w:t>
            </w:r>
          </w:p>
          <w:p w:rsidR="00F138F7" w:rsidRDefault="00F138F7" w:rsidP="00C2675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Programme de formation 2</w:t>
            </w:r>
            <w:r w:rsidRPr="00993E4D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jour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</w:t>
            </w:r>
            <w:r w:rsidR="00C26753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F138F7" w:rsidRDefault="00F138F7" w:rsidP="00F138F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38F7" w:rsidRPr="00274EE3" w:rsidRDefault="00F138F7" w:rsidP="00F138F7">
      <w:pPr>
        <w:jc w:val="both"/>
        <w:rPr>
          <w:rFonts w:ascii="Arial" w:eastAsia="Calibri" w:hAnsi="Arial" w:cs="Arial"/>
          <w:b/>
          <w:color w:val="002060"/>
          <w:sz w:val="20"/>
          <w:szCs w:val="20"/>
        </w:rPr>
      </w:pPr>
      <w:r w:rsidRPr="00274EE3">
        <w:rPr>
          <w:rFonts w:ascii="Arial" w:eastAsia="Calibri" w:hAnsi="Arial" w:cs="Arial"/>
          <w:color w:val="002060"/>
          <w:sz w:val="20"/>
          <w:szCs w:val="20"/>
        </w:rPr>
        <w:t>L’objectif de cette formation est de maîtriser une méthode de retour d’expérience CREX – RMM associée à une méthode d’analyse systémique applicable à tout type d’événement, méthode ORION.</w:t>
      </w:r>
    </w:p>
    <w:p w:rsidR="00F138F7" w:rsidRPr="00274EE3" w:rsidRDefault="0098561C" w:rsidP="0098561C">
      <w:pPr>
        <w:jc w:val="both"/>
        <w:rPr>
          <w:rFonts w:ascii="Arial" w:eastAsia="Calibri" w:hAnsi="Arial" w:cs="Arial"/>
          <w:color w:val="002060"/>
          <w:sz w:val="20"/>
          <w:szCs w:val="20"/>
        </w:rPr>
      </w:pPr>
      <w:r w:rsidRPr="00274EE3">
        <w:rPr>
          <w:rFonts w:ascii="Arial" w:eastAsia="Calibri" w:hAnsi="Arial" w:cs="Arial"/>
          <w:color w:val="002060"/>
          <w:sz w:val="20"/>
          <w:szCs w:val="20"/>
        </w:rPr>
        <w:t>Le but est de faire pratiquer par</w:t>
      </w:r>
      <w:r w:rsidR="00F138F7" w:rsidRPr="00274EE3">
        <w:rPr>
          <w:rFonts w:ascii="Arial" w:eastAsia="Calibri" w:hAnsi="Arial" w:cs="Arial"/>
          <w:color w:val="002060"/>
          <w:sz w:val="20"/>
          <w:szCs w:val="20"/>
        </w:rPr>
        <w:t xml:space="preserve"> toutes les catégories de personnel soignan</w:t>
      </w:r>
      <w:r w:rsidRPr="00274EE3">
        <w:rPr>
          <w:rFonts w:ascii="Arial" w:eastAsia="Calibri" w:hAnsi="Arial" w:cs="Arial"/>
          <w:color w:val="002060"/>
          <w:sz w:val="20"/>
          <w:szCs w:val="20"/>
        </w:rPr>
        <w:t>t ou non l</w:t>
      </w:r>
      <w:r w:rsidR="00F138F7" w:rsidRPr="00274EE3">
        <w:rPr>
          <w:rFonts w:ascii="Arial" w:eastAsia="Calibri" w:hAnsi="Arial" w:cs="Arial"/>
          <w:color w:val="002060"/>
          <w:sz w:val="20"/>
          <w:szCs w:val="20"/>
        </w:rPr>
        <w:t>e retour d’ex</w:t>
      </w:r>
      <w:r w:rsidRPr="00274EE3">
        <w:rPr>
          <w:rFonts w:ascii="Arial" w:eastAsia="Calibri" w:hAnsi="Arial" w:cs="Arial"/>
          <w:color w:val="002060"/>
          <w:sz w:val="20"/>
          <w:szCs w:val="20"/>
        </w:rPr>
        <w:t>périence CREX ou RMM et l’analyse systémique d’un événement de façon simple, rigoureuse et approfondie, afin</w:t>
      </w:r>
      <w:r w:rsidR="00F138F7" w:rsidRPr="00274EE3">
        <w:rPr>
          <w:rFonts w:ascii="Arial" w:eastAsia="Calibri" w:hAnsi="Arial" w:cs="Arial"/>
          <w:color w:val="002060"/>
          <w:sz w:val="20"/>
          <w:szCs w:val="20"/>
        </w:rPr>
        <w:t xml:space="preserve"> de mettre en place des actions correctives pertinentes à l</w:t>
      </w:r>
      <w:r w:rsidRPr="00274EE3">
        <w:rPr>
          <w:rFonts w:ascii="Arial" w:eastAsia="Calibri" w:hAnsi="Arial" w:cs="Arial"/>
          <w:color w:val="002060"/>
          <w:sz w:val="20"/>
          <w:szCs w:val="20"/>
        </w:rPr>
        <w:t>a suite des événements signalés</w:t>
      </w:r>
      <w:r w:rsidR="00DF56EF" w:rsidRPr="00274EE3">
        <w:rPr>
          <w:rFonts w:ascii="Arial" w:eastAsia="Calibri" w:hAnsi="Arial" w:cs="Arial"/>
          <w:color w:val="002060"/>
          <w:sz w:val="20"/>
          <w:szCs w:val="20"/>
        </w:rPr>
        <w:t xml:space="preserve">, </w:t>
      </w:r>
      <w:r w:rsidRPr="00274EE3">
        <w:rPr>
          <w:rFonts w:ascii="Arial" w:eastAsia="Calibri" w:hAnsi="Arial" w:cs="Arial"/>
          <w:color w:val="002060"/>
          <w:sz w:val="20"/>
          <w:szCs w:val="20"/>
        </w:rPr>
        <w:t xml:space="preserve">de suivre leur mise en œuvre et de </w:t>
      </w:r>
      <w:r w:rsidRPr="00274EE3">
        <w:rPr>
          <w:rFonts w:ascii="Arial" w:hAnsi="Arial" w:cs="Arial"/>
          <w:color w:val="002060"/>
          <w:sz w:val="20"/>
          <w:szCs w:val="20"/>
        </w:rPr>
        <w:t>sensibiliser les participants à l’intérêt de la prise en compte du facteur humain comme facteur contributif ou influent lors d’un écart constaté </w:t>
      </w:r>
    </w:p>
    <w:p w:rsidR="00E25741" w:rsidRPr="00274EE3" w:rsidRDefault="00DF56EF" w:rsidP="00DF56EF">
      <w:pPr>
        <w:jc w:val="both"/>
        <w:rPr>
          <w:rFonts w:ascii="Arial" w:eastAsia="Calibri" w:hAnsi="Arial" w:cs="Arial"/>
          <w:b/>
          <w:color w:val="002060"/>
          <w:sz w:val="20"/>
          <w:szCs w:val="20"/>
        </w:rPr>
      </w:pPr>
      <w:r w:rsidRPr="00274EE3">
        <w:rPr>
          <w:rFonts w:ascii="Arial" w:eastAsia="Calibri" w:hAnsi="Arial" w:cs="Arial"/>
          <w:color w:val="002060"/>
          <w:sz w:val="20"/>
          <w:szCs w:val="20"/>
        </w:rPr>
        <w:t>A l’issue de la formation</w:t>
      </w:r>
      <w:r w:rsidR="00F138F7" w:rsidRPr="00274EE3">
        <w:rPr>
          <w:rFonts w:ascii="Arial" w:eastAsia="Calibri" w:hAnsi="Arial" w:cs="Arial"/>
          <w:color w:val="002060"/>
          <w:sz w:val="20"/>
          <w:szCs w:val="20"/>
        </w:rPr>
        <w:t xml:space="preserve"> sont capables de participer et de mettre en œuvre dans leur établissement, unité de soins ou service les différentes étapes de cette activité.</w:t>
      </w:r>
    </w:p>
    <w:p w:rsidR="00274EE3" w:rsidRDefault="00F138F7" w:rsidP="00274EE3">
      <w:pPr>
        <w:spacing w:after="0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  <w:r w:rsidRPr="00292C1D">
        <w:rPr>
          <w:rFonts w:ascii="Arial" w:eastAsia="Calibri" w:hAnsi="Arial" w:cs="Arial"/>
          <w:b/>
          <w:color w:val="002060"/>
          <w:sz w:val="24"/>
          <w:szCs w:val="24"/>
          <w:u w:val="single"/>
        </w:rPr>
        <w:t>Public concerné</w:t>
      </w:r>
    </w:p>
    <w:p w:rsidR="00922420" w:rsidRDefault="00F138F7" w:rsidP="00274EE3">
      <w:pPr>
        <w:spacing w:after="0"/>
        <w:rPr>
          <w:rFonts w:ascii="Arial" w:hAnsi="Arial" w:cs="Arial"/>
          <w:color w:val="002060"/>
          <w:sz w:val="24"/>
          <w:szCs w:val="24"/>
        </w:rPr>
      </w:pPr>
      <w:r w:rsidRPr="00D535DC">
        <w:rPr>
          <w:rFonts w:ascii="Arial" w:hAnsi="Arial" w:cs="Arial"/>
          <w:color w:val="002060"/>
          <w:sz w:val="24"/>
          <w:szCs w:val="24"/>
        </w:rPr>
        <w:t xml:space="preserve">Tout professionnel d’une unité de </w:t>
      </w:r>
      <w:r w:rsidR="00DF56EF">
        <w:rPr>
          <w:rFonts w:ascii="Arial" w:hAnsi="Arial" w:cs="Arial"/>
          <w:color w:val="002060"/>
          <w:sz w:val="24"/>
          <w:szCs w:val="24"/>
        </w:rPr>
        <w:t>soins.</w:t>
      </w:r>
    </w:p>
    <w:p w:rsidR="00274EE3" w:rsidRPr="00274EE3" w:rsidRDefault="00274EE3" w:rsidP="00274EE3">
      <w:pPr>
        <w:spacing w:after="0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</w:p>
    <w:p w:rsidR="003B15D9" w:rsidRDefault="00F138F7" w:rsidP="00274EE3">
      <w:pPr>
        <w:spacing w:after="0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  <w:r w:rsidRPr="00292C1D">
        <w:rPr>
          <w:rFonts w:ascii="Arial" w:eastAsia="Calibri" w:hAnsi="Arial" w:cs="Arial"/>
          <w:b/>
          <w:color w:val="002060"/>
          <w:sz w:val="24"/>
          <w:szCs w:val="24"/>
          <w:u w:val="single"/>
        </w:rPr>
        <w:t>Pré requis</w:t>
      </w:r>
      <w:r w:rsidR="003B15D9">
        <w:rPr>
          <w:rFonts w:ascii="Arial" w:eastAsia="Calibri" w:hAnsi="Arial" w:cs="Arial"/>
          <w:b/>
          <w:color w:val="002060"/>
          <w:sz w:val="24"/>
          <w:szCs w:val="24"/>
          <w:u w:val="single"/>
        </w:rPr>
        <w:t> </w:t>
      </w:r>
    </w:p>
    <w:p w:rsidR="00042180" w:rsidRDefault="00B72728" w:rsidP="00274EE3">
      <w:pPr>
        <w:spacing w:after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La composition du groupe doit </w:t>
      </w:r>
      <w:r w:rsidR="00F138F7" w:rsidRPr="00D535DC">
        <w:rPr>
          <w:rFonts w:ascii="Arial" w:hAnsi="Arial" w:cs="Arial"/>
          <w:color w:val="002060"/>
          <w:sz w:val="24"/>
          <w:szCs w:val="24"/>
        </w:rPr>
        <w:t>être pluri-professionnelle.</w:t>
      </w:r>
    </w:p>
    <w:p w:rsidR="00274EE3" w:rsidRPr="003B15D9" w:rsidRDefault="00274EE3" w:rsidP="00274EE3">
      <w:pPr>
        <w:spacing w:after="0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</w:p>
    <w:p w:rsidR="00274EE3" w:rsidRDefault="00F760F6" w:rsidP="00274EE3">
      <w:pPr>
        <w:spacing w:after="0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  <w:r w:rsidRPr="00292C1D">
        <w:rPr>
          <w:rFonts w:ascii="Arial" w:eastAsia="Calibri" w:hAnsi="Arial" w:cs="Arial"/>
          <w:b/>
          <w:color w:val="002060"/>
          <w:sz w:val="24"/>
          <w:szCs w:val="24"/>
          <w:u w:val="single"/>
        </w:rPr>
        <w:t xml:space="preserve">Méthodes et moyens pédagogiques </w:t>
      </w:r>
    </w:p>
    <w:p w:rsidR="00DF56EF" w:rsidRDefault="00DF56EF" w:rsidP="00E009C7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DF56EF">
        <w:rPr>
          <w:rFonts w:ascii="Arial" w:hAnsi="Arial" w:cs="Arial"/>
          <w:color w:val="002060"/>
          <w:sz w:val="24"/>
          <w:szCs w:val="24"/>
        </w:rPr>
        <w:t>L’évaluation des pratiques et des méthodes en cours dans l’établissement est assurée avant la formation, à l’issue de la formation et trois mois ou plus après la formation pour faire un bilan de la mise en œuvre.</w:t>
      </w:r>
    </w:p>
    <w:p w:rsidR="00274EE3" w:rsidRPr="00274EE3" w:rsidRDefault="00274EE3" w:rsidP="00274EE3">
      <w:pPr>
        <w:spacing w:after="0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</w:p>
    <w:p w:rsidR="00F760F6" w:rsidRPr="00D535DC" w:rsidRDefault="00F760F6" w:rsidP="00F760F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717B0C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fr-FR"/>
        </w:rPr>
        <w:t>Programme</w:t>
      </w:r>
      <w:r w:rsidR="00717B0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 :</w:t>
      </w:r>
    </w:p>
    <w:p w:rsidR="003463ED" w:rsidRPr="00DF56EF" w:rsidRDefault="00F760F6" w:rsidP="003463ED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6E7355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 </w:t>
      </w:r>
      <w:r w:rsidR="003463ED" w:rsidRPr="006E7355">
        <w:rPr>
          <w:rFonts w:ascii="Arial" w:eastAsia="Times New Roman" w:hAnsi="Arial" w:cs="Arial"/>
          <w:sz w:val="24"/>
          <w:szCs w:val="24"/>
          <w:lang w:eastAsia="fr-FR"/>
        </w:rPr>
        <w:t>  </w:t>
      </w:r>
    </w:p>
    <w:p w:rsidR="003463ED" w:rsidRPr="00596BA0" w:rsidRDefault="00DF56EF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Introduction à la gestion des risques :</w:t>
      </w:r>
      <w:r w:rsidR="003463ED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activités</w:t>
      </w:r>
      <w:r w:rsidR="003463ED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à 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risques</w:t>
      </w:r>
    </w:p>
    <w:p w:rsidR="003463ED" w:rsidRPr="00596BA0" w:rsidRDefault="003463ED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Notion de périmètre</w:t>
      </w:r>
      <w:r w:rsidR="00DF56EF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 : </w:t>
      </w:r>
      <w:r w:rsidR="00DF56EF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les domaines d’application</w:t>
      </w: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</w:t>
      </w:r>
    </w:p>
    <w:p w:rsidR="007F0154" w:rsidRPr="00596BA0" w:rsidRDefault="00274EE3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Typologie d’événements : 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choix des événements – méthodes de sélection</w:t>
      </w:r>
    </w:p>
    <w:p w:rsidR="003463ED" w:rsidRPr="00596BA0" w:rsidRDefault="003463ED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Le CREX/RMM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tel</w:t>
      </w:r>
      <w:r w:rsidR="00274EE3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qu'il a été imaginé par AFM42 </w:t>
      </w:r>
    </w:p>
    <w:p w:rsidR="003463ED" w:rsidRPr="00596BA0" w:rsidRDefault="003463ED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Facteurs clés de succès CREX/RMM</w:t>
      </w:r>
      <w:r w:rsidR="00274EE3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- </w:t>
      </w:r>
      <w:r w:rsidR="00274EE3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indicateurs</w:t>
      </w:r>
    </w:p>
    <w:p w:rsidR="004403FE" w:rsidRPr="00596BA0" w:rsidRDefault="00576D8A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Analyse systémique ORION</w:t>
      </w:r>
    </w:p>
    <w:p w:rsidR="006E7355" w:rsidRPr="00596BA0" w:rsidRDefault="004403FE" w:rsidP="00596BA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Ateliers :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Deux a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nalyse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systémique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</w:t>
      </w:r>
      <w:r w:rsidR="00677DAB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ORION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en groupes réduits 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à partir de cas proposés par les participants suivi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’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atelier</w:t>
      </w:r>
      <w:r w:rsidR="00274EE3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CREX – RMM </w:t>
      </w:r>
      <w:r w:rsidR="00274EE3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à partir des</w:t>
      </w:r>
      <w:r w:rsidR="00F760F6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événement</w:t>
      </w:r>
      <w:r w:rsidR="00274EE3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analysé</w:t>
      </w:r>
      <w:r w:rsidR="00274EE3"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s</w:t>
      </w:r>
      <w:r w:rsidRPr="00596BA0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</w:t>
      </w:r>
    </w:p>
    <w:p w:rsidR="006E7355" w:rsidRPr="00596BA0" w:rsidRDefault="00274EE3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Les facteurs clés de succès d’une analyse systémique </w:t>
      </w:r>
    </w:p>
    <w:p w:rsidR="003463ED" w:rsidRPr="00596BA0" w:rsidRDefault="00041D81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Notions de </w:t>
      </w:r>
      <w:r w:rsidR="003463ED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facteur</w:t>
      </w: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s</w:t>
      </w:r>
      <w:r w:rsidR="003463ED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humain</w:t>
      </w: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s et Bonnes Pratiques de Sécurité</w:t>
      </w:r>
    </w:p>
    <w:p w:rsidR="002C1833" w:rsidRPr="00596BA0" w:rsidRDefault="001E4B52" w:rsidP="00596BA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</w:pP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P</w:t>
      </w:r>
      <w:r w:rsidR="003463ED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lans d'actions à l</w:t>
      </w:r>
      <w:r w:rsidR="00041D81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’</w:t>
      </w: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issue de la formation</w:t>
      </w:r>
      <w:r w:rsidR="00F760F6"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- Bilan</w:t>
      </w:r>
      <w:r w:rsidRPr="00596BA0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 </w:t>
      </w:r>
    </w:p>
    <w:sectPr w:rsidR="002C1833" w:rsidRPr="00596B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6B" w:rsidRDefault="00894F6B" w:rsidP="00206E78">
      <w:pPr>
        <w:spacing w:after="0" w:line="240" w:lineRule="auto"/>
      </w:pPr>
      <w:r>
        <w:separator/>
      </w:r>
    </w:p>
  </w:endnote>
  <w:endnote w:type="continuationSeparator" w:id="0">
    <w:p w:rsidR="00894F6B" w:rsidRDefault="00894F6B" w:rsidP="0020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827039"/>
      <w:docPartObj>
        <w:docPartGallery w:val="Page Numbers (Bottom of Page)"/>
        <w:docPartUnique/>
      </w:docPartObj>
    </w:sdtPr>
    <w:sdtEndPr/>
    <w:sdtContent>
      <w:p w:rsidR="006E7355" w:rsidRDefault="006E73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53">
          <w:rPr>
            <w:noProof/>
          </w:rPr>
          <w:t>1</w:t>
        </w:r>
        <w:r>
          <w:fldChar w:fldCharType="end"/>
        </w:r>
      </w:p>
    </w:sdtContent>
  </w:sdt>
  <w:p w:rsidR="00922420" w:rsidRDefault="00D4315B" w:rsidP="00922420">
    <w:pPr>
      <w:spacing w:after="0"/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</w:pPr>
    <w:r>
      <w:t>V-01</w:t>
    </w:r>
    <w:r w:rsidR="00A338EE">
      <w:t xml:space="preserve"> 12/08/2017</w:t>
    </w:r>
    <w:r w:rsidR="0092242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 xml:space="preserve"> </w:t>
    </w:r>
    <w:r w:rsidR="0092242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ab/>
    </w:r>
    <w:r w:rsidR="0092242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ab/>
    </w:r>
    <w:r w:rsidR="0092242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ab/>
    </w:r>
    <w:r w:rsidR="0092242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ab/>
    </w:r>
    <w:r w:rsidR="0092242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ab/>
    </w:r>
    <w:r w:rsidR="00E94060"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 xml:space="preserve"> N° SIRET: 498 906 106 00022   Code APE : 7022 Z - </w:t>
    </w:r>
  </w:p>
  <w:p w:rsidR="00922420" w:rsidRDefault="00922420" w:rsidP="00922420">
    <w:pPr>
      <w:spacing w:after="0"/>
      <w:jc w:val="right"/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</w:pPr>
    <w:r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 xml:space="preserve"> N° de déclaration d’activité de formation : </w:t>
    </w:r>
    <w:r>
      <w:rPr>
        <w:rFonts w:ascii="Arial" w:eastAsia="Times New Roman" w:hAnsi="Arial" w:cs="Arial"/>
        <w:b/>
        <w:color w:val="A6A6A6" w:themeColor="background1" w:themeShade="A6"/>
        <w:sz w:val="16"/>
        <w:szCs w:val="16"/>
        <w:lang w:eastAsia="fr-FR"/>
      </w:rPr>
      <w:t>11 78 80570 78</w:t>
    </w:r>
  </w:p>
  <w:p w:rsidR="00922420" w:rsidRDefault="00922420" w:rsidP="00922420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</w:pPr>
    <w:r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>Immatriculation RC: 2007 B 02638 (VERSAILLES) le 4/07/2007</w:t>
    </w:r>
  </w:p>
  <w:p w:rsidR="00922420" w:rsidRDefault="00922420" w:rsidP="00922420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</w:pPr>
    <w:r>
      <w:rPr>
        <w:rFonts w:ascii="Arial" w:eastAsia="Times New Roman" w:hAnsi="Arial" w:cs="Arial"/>
        <w:b/>
        <w:bCs/>
        <w:color w:val="A6A6A6" w:themeColor="background1" w:themeShade="A6"/>
        <w:sz w:val="16"/>
        <w:szCs w:val="16"/>
        <w:lang w:eastAsia="fr-FR"/>
      </w:rPr>
      <w:t xml:space="preserve">AFM42 : </w:t>
    </w:r>
    <w:r>
      <w:rPr>
        <w:rFonts w:ascii="Arial" w:eastAsia="Times New Roman" w:hAnsi="Arial" w:cs="Arial"/>
        <w:color w:val="A6A6A6" w:themeColor="background1" w:themeShade="A6"/>
        <w:sz w:val="16"/>
        <w:szCs w:val="16"/>
        <w:lang w:eastAsia="fr-FR"/>
      </w:rPr>
      <w:t>c/o Cabinet Martin 97 rue Pereire 78105 Saint Germain en Laye CEDEX</w:t>
    </w:r>
  </w:p>
  <w:p w:rsidR="00922420" w:rsidRDefault="00922420" w:rsidP="00922420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Arial" w:eastAsia="Times New Roman" w:hAnsi="Arial" w:cs="Arial"/>
        <w:bCs/>
        <w:color w:val="A6A6A6" w:themeColor="background1" w:themeShade="A6"/>
        <w:sz w:val="16"/>
        <w:szCs w:val="16"/>
        <w:lang w:eastAsia="fr-FR"/>
      </w:rPr>
    </w:pPr>
    <w:r>
      <w:rPr>
        <w:rFonts w:ascii="Arial" w:eastAsia="Times New Roman" w:hAnsi="Arial" w:cs="Arial"/>
        <w:b/>
        <w:bCs/>
        <w:color w:val="A6A6A6" w:themeColor="background1" w:themeShade="A6"/>
        <w:sz w:val="16"/>
        <w:szCs w:val="16"/>
        <w:lang w:eastAsia="fr-FR"/>
      </w:rPr>
      <w:t xml:space="preserve">Adresse postale : AFM42 </w:t>
    </w:r>
    <w:r>
      <w:rPr>
        <w:rFonts w:ascii="Arial" w:eastAsia="Times New Roman" w:hAnsi="Arial" w:cs="Arial"/>
        <w:bCs/>
        <w:color w:val="A6A6A6" w:themeColor="background1" w:themeShade="A6"/>
        <w:sz w:val="16"/>
        <w:szCs w:val="16"/>
        <w:lang w:eastAsia="fr-FR"/>
      </w:rPr>
      <w:t xml:space="preserve">C/0 </w:t>
    </w:r>
    <w:r w:rsidR="007E0003">
      <w:rPr>
        <w:rFonts w:ascii="Arial" w:eastAsia="Times New Roman" w:hAnsi="Arial" w:cs="Arial"/>
        <w:bCs/>
        <w:color w:val="A6A6A6" w:themeColor="background1" w:themeShade="A6"/>
        <w:sz w:val="16"/>
        <w:szCs w:val="16"/>
        <w:lang w:eastAsia="fr-FR"/>
      </w:rPr>
      <w:t>Patricia Fontaine 33 rue du Plessis 77340 Pontault-Combault</w:t>
    </w:r>
  </w:p>
  <w:p w:rsidR="002C1098" w:rsidRDefault="002C10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6B" w:rsidRDefault="00894F6B" w:rsidP="00206E78">
      <w:pPr>
        <w:spacing w:after="0" w:line="240" w:lineRule="auto"/>
      </w:pPr>
      <w:r>
        <w:separator/>
      </w:r>
    </w:p>
  </w:footnote>
  <w:footnote w:type="continuationSeparator" w:id="0">
    <w:p w:rsidR="00894F6B" w:rsidRDefault="00894F6B" w:rsidP="0020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78" w:rsidRDefault="00206E78">
    <w:pPr>
      <w:pStyle w:val="En-tte"/>
    </w:pPr>
    <w:r>
      <w:tab/>
    </w:r>
    <w:r>
      <w:tab/>
    </w:r>
    <w:r w:rsidR="00053680">
      <w:rPr>
        <w:noProof/>
        <w:lang w:eastAsia="fr-FR"/>
      </w:rPr>
      <w:drawing>
        <wp:inline distT="0" distB="0" distL="0" distR="0" wp14:anchorId="734F751E" wp14:editId="4A4CF982">
          <wp:extent cx="2209800" cy="5143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953"/>
    <w:multiLevelType w:val="hybridMultilevel"/>
    <w:tmpl w:val="5CCC6A14"/>
    <w:lvl w:ilvl="0" w:tplc="97D2FA0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A033A"/>
    <w:multiLevelType w:val="hybridMultilevel"/>
    <w:tmpl w:val="DBD89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2D26"/>
    <w:multiLevelType w:val="hybridMultilevel"/>
    <w:tmpl w:val="9B709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C5444"/>
    <w:multiLevelType w:val="hybridMultilevel"/>
    <w:tmpl w:val="ECA87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35BDF"/>
    <w:multiLevelType w:val="multilevel"/>
    <w:tmpl w:val="6F0C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C85DD4"/>
    <w:multiLevelType w:val="multilevel"/>
    <w:tmpl w:val="6106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F50433"/>
    <w:multiLevelType w:val="hybridMultilevel"/>
    <w:tmpl w:val="A4DAD3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D55C5C"/>
    <w:multiLevelType w:val="multilevel"/>
    <w:tmpl w:val="FDFE8C9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6420E2"/>
    <w:multiLevelType w:val="multilevel"/>
    <w:tmpl w:val="4E50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ED"/>
    <w:rsid w:val="000008EE"/>
    <w:rsid w:val="00014420"/>
    <w:rsid w:val="00041D81"/>
    <w:rsid w:val="00042180"/>
    <w:rsid w:val="00053680"/>
    <w:rsid w:val="000607E2"/>
    <w:rsid w:val="00061159"/>
    <w:rsid w:val="00062398"/>
    <w:rsid w:val="000666BD"/>
    <w:rsid w:val="00090188"/>
    <w:rsid w:val="00120CA9"/>
    <w:rsid w:val="00154827"/>
    <w:rsid w:val="00171A61"/>
    <w:rsid w:val="001E4B52"/>
    <w:rsid w:val="001E5282"/>
    <w:rsid w:val="001F0867"/>
    <w:rsid w:val="00203D8B"/>
    <w:rsid w:val="00206E78"/>
    <w:rsid w:val="00216C98"/>
    <w:rsid w:val="00263BA2"/>
    <w:rsid w:val="00274EE3"/>
    <w:rsid w:val="002A5B08"/>
    <w:rsid w:val="002C1098"/>
    <w:rsid w:val="002D2E6B"/>
    <w:rsid w:val="002D57FE"/>
    <w:rsid w:val="003274B8"/>
    <w:rsid w:val="003463ED"/>
    <w:rsid w:val="00375209"/>
    <w:rsid w:val="003B15D9"/>
    <w:rsid w:val="003B1D85"/>
    <w:rsid w:val="003C15EB"/>
    <w:rsid w:val="003E50D2"/>
    <w:rsid w:val="004403FE"/>
    <w:rsid w:val="00516A23"/>
    <w:rsid w:val="005406BB"/>
    <w:rsid w:val="00576D8A"/>
    <w:rsid w:val="00596BA0"/>
    <w:rsid w:val="005C5707"/>
    <w:rsid w:val="005E6175"/>
    <w:rsid w:val="005F35A3"/>
    <w:rsid w:val="0064525E"/>
    <w:rsid w:val="00677DAB"/>
    <w:rsid w:val="006A3CEA"/>
    <w:rsid w:val="006B4916"/>
    <w:rsid w:val="006E7355"/>
    <w:rsid w:val="007112C6"/>
    <w:rsid w:val="00717B0C"/>
    <w:rsid w:val="00770371"/>
    <w:rsid w:val="007E0003"/>
    <w:rsid w:val="007F0154"/>
    <w:rsid w:val="008660C1"/>
    <w:rsid w:val="00894F6B"/>
    <w:rsid w:val="00912E60"/>
    <w:rsid w:val="00922420"/>
    <w:rsid w:val="00972C5C"/>
    <w:rsid w:val="0098561C"/>
    <w:rsid w:val="009C7F09"/>
    <w:rsid w:val="00A12838"/>
    <w:rsid w:val="00A24C0B"/>
    <w:rsid w:val="00A338EE"/>
    <w:rsid w:val="00A803A1"/>
    <w:rsid w:val="00B504A5"/>
    <w:rsid w:val="00B72728"/>
    <w:rsid w:val="00BA1DE6"/>
    <w:rsid w:val="00C26753"/>
    <w:rsid w:val="00CA669E"/>
    <w:rsid w:val="00CB0C0D"/>
    <w:rsid w:val="00CE778E"/>
    <w:rsid w:val="00D4315B"/>
    <w:rsid w:val="00D82B1F"/>
    <w:rsid w:val="00DA47A6"/>
    <w:rsid w:val="00DF56EF"/>
    <w:rsid w:val="00E009C7"/>
    <w:rsid w:val="00E07FE3"/>
    <w:rsid w:val="00E10F99"/>
    <w:rsid w:val="00E25741"/>
    <w:rsid w:val="00E4137E"/>
    <w:rsid w:val="00E4174A"/>
    <w:rsid w:val="00E60DE7"/>
    <w:rsid w:val="00E94060"/>
    <w:rsid w:val="00ED0445"/>
    <w:rsid w:val="00ED260D"/>
    <w:rsid w:val="00EF5DD7"/>
    <w:rsid w:val="00F138F7"/>
    <w:rsid w:val="00F30FFB"/>
    <w:rsid w:val="00F760F6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3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E78"/>
  </w:style>
  <w:style w:type="paragraph" w:styleId="Pieddepage">
    <w:name w:val="footer"/>
    <w:basedOn w:val="Normal"/>
    <w:link w:val="PieddepageCar"/>
    <w:uiPriority w:val="99"/>
    <w:unhideWhenUsed/>
    <w:rsid w:val="0020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E78"/>
  </w:style>
  <w:style w:type="paragraph" w:styleId="Textedebulles">
    <w:name w:val="Balloon Text"/>
    <w:basedOn w:val="Normal"/>
    <w:link w:val="TextedebullesCar"/>
    <w:uiPriority w:val="99"/>
    <w:semiHidden/>
    <w:unhideWhenUsed/>
    <w:rsid w:val="0020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E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3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E78"/>
  </w:style>
  <w:style w:type="paragraph" w:styleId="Pieddepage">
    <w:name w:val="footer"/>
    <w:basedOn w:val="Normal"/>
    <w:link w:val="PieddepageCar"/>
    <w:uiPriority w:val="99"/>
    <w:unhideWhenUsed/>
    <w:rsid w:val="0020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E78"/>
  </w:style>
  <w:style w:type="paragraph" w:styleId="Textedebulles">
    <w:name w:val="Balloon Text"/>
    <w:basedOn w:val="Normal"/>
    <w:link w:val="TextedebullesCar"/>
    <w:uiPriority w:val="99"/>
    <w:semiHidden/>
    <w:unhideWhenUsed/>
    <w:rsid w:val="0020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E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86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76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Nilgiri Conseil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Debouck Frank</dc:creator>
  <cp:lastModifiedBy>HENRI BERTRAND</cp:lastModifiedBy>
  <cp:revision>21</cp:revision>
  <cp:lastPrinted>2015-11-30T13:40:00Z</cp:lastPrinted>
  <dcterms:created xsi:type="dcterms:W3CDTF">2015-10-28T16:31:00Z</dcterms:created>
  <dcterms:modified xsi:type="dcterms:W3CDTF">2018-02-05T09:14:00Z</dcterms:modified>
</cp:coreProperties>
</file>